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F5AAD" w14:textId="6627736A" w:rsidR="00B53295" w:rsidRDefault="00B53295" w:rsidP="00DA6931">
      <w:pPr>
        <w:spacing w:after="0" w:line="240" w:lineRule="auto"/>
        <w:jc w:val="both"/>
        <w:rPr>
          <w:rFonts w:ascii="Arial Narrow" w:hAnsi="Arial Narrow"/>
          <w:sz w:val="28"/>
          <w:szCs w:val="28"/>
        </w:rPr>
      </w:pPr>
    </w:p>
    <w:p w14:paraId="1283A60B" w14:textId="3FC7F175" w:rsidR="00802C4A" w:rsidRPr="00802C4A" w:rsidRDefault="00802C4A" w:rsidP="00802C4A">
      <w:pPr>
        <w:spacing w:after="0" w:line="240" w:lineRule="auto"/>
        <w:jc w:val="center"/>
        <w:rPr>
          <w:rFonts w:ascii="Arial Narrow" w:hAnsi="Arial Narrow"/>
          <w:b/>
          <w:sz w:val="28"/>
          <w:szCs w:val="28"/>
        </w:rPr>
      </w:pPr>
      <w:r w:rsidRPr="00802C4A">
        <w:rPr>
          <w:rFonts w:ascii="Arial Narrow" w:hAnsi="Arial Narrow"/>
          <w:b/>
          <w:sz w:val="28"/>
          <w:szCs w:val="28"/>
        </w:rPr>
        <w:t>PREGUNTAS Y RESPUESTAS AUDIENCIA PÚBLICA DE RENDICIÓN DE CUENTAS</w:t>
      </w:r>
    </w:p>
    <w:p w14:paraId="7486F901" w14:textId="1AF0A859" w:rsidR="00802C4A" w:rsidRPr="00802C4A" w:rsidRDefault="00802C4A" w:rsidP="00802C4A">
      <w:pPr>
        <w:spacing w:after="0" w:line="240" w:lineRule="auto"/>
        <w:jc w:val="center"/>
        <w:rPr>
          <w:rFonts w:ascii="Arial Narrow" w:hAnsi="Arial Narrow"/>
          <w:b/>
          <w:sz w:val="28"/>
          <w:szCs w:val="28"/>
        </w:rPr>
      </w:pPr>
      <w:r w:rsidRPr="00802C4A">
        <w:rPr>
          <w:rFonts w:ascii="Arial Narrow" w:hAnsi="Arial Narrow"/>
          <w:b/>
          <w:sz w:val="28"/>
          <w:szCs w:val="28"/>
        </w:rPr>
        <w:t>17 DE MAYO DE 2019</w:t>
      </w:r>
    </w:p>
    <w:p w14:paraId="1410DD35" w14:textId="1D771C4D" w:rsidR="00802C4A" w:rsidRDefault="00802C4A" w:rsidP="00DA6931">
      <w:pPr>
        <w:spacing w:after="0" w:line="240" w:lineRule="auto"/>
        <w:jc w:val="both"/>
        <w:rPr>
          <w:rFonts w:ascii="Arial Narrow" w:hAnsi="Arial Narrow"/>
          <w:sz w:val="28"/>
          <w:szCs w:val="28"/>
        </w:rPr>
      </w:pPr>
    </w:p>
    <w:p w14:paraId="7D8571C3" w14:textId="77777777" w:rsidR="00802C4A" w:rsidRPr="00DA6931" w:rsidRDefault="00802C4A" w:rsidP="00DA6931">
      <w:pPr>
        <w:spacing w:after="0" w:line="240" w:lineRule="auto"/>
        <w:jc w:val="both"/>
        <w:rPr>
          <w:rFonts w:ascii="Arial Narrow" w:hAnsi="Arial Narrow"/>
          <w:sz w:val="28"/>
          <w:szCs w:val="28"/>
        </w:rPr>
      </w:pPr>
    </w:p>
    <w:p w14:paraId="7C265132" w14:textId="77777777" w:rsidR="00F863E6" w:rsidRPr="00E81FF2" w:rsidRDefault="00B53295" w:rsidP="00DA6931">
      <w:pPr>
        <w:pStyle w:val="Prrafodelista"/>
        <w:numPr>
          <w:ilvl w:val="0"/>
          <w:numId w:val="3"/>
        </w:numPr>
        <w:spacing w:after="0" w:line="240" w:lineRule="auto"/>
        <w:jc w:val="both"/>
        <w:rPr>
          <w:rFonts w:ascii="Arial Narrow" w:hAnsi="Arial Narrow"/>
          <w:sz w:val="28"/>
          <w:szCs w:val="28"/>
        </w:rPr>
      </w:pPr>
      <w:r w:rsidRPr="00E81FF2">
        <w:rPr>
          <w:rFonts w:ascii="Arial Narrow" w:hAnsi="Arial Narrow"/>
          <w:b/>
          <w:sz w:val="28"/>
          <w:szCs w:val="28"/>
        </w:rPr>
        <w:t>Santiago López (video):</w:t>
      </w:r>
      <w:r w:rsidRPr="00E81FF2">
        <w:rPr>
          <w:rFonts w:ascii="Arial Narrow" w:hAnsi="Arial Narrow"/>
          <w:sz w:val="28"/>
          <w:szCs w:val="28"/>
        </w:rPr>
        <w:t xml:space="preserve"> </w:t>
      </w:r>
      <w:r w:rsidR="00F863E6" w:rsidRPr="00E81FF2">
        <w:rPr>
          <w:rFonts w:ascii="Arial Narrow" w:hAnsi="Arial Narrow"/>
          <w:i/>
          <w:sz w:val="28"/>
          <w:szCs w:val="28"/>
        </w:rPr>
        <w:t>¿Un estudiante con reconocimiento académico cuenta con beneficios al momento de pagar la deuda con el ICETEX?</w:t>
      </w:r>
    </w:p>
    <w:p w14:paraId="6505EDC3" w14:textId="77777777" w:rsidR="00F863E6" w:rsidRPr="00E81FF2" w:rsidRDefault="00F863E6" w:rsidP="00DA6931">
      <w:pPr>
        <w:pStyle w:val="Prrafodelista"/>
        <w:spacing w:after="0" w:line="240" w:lineRule="auto"/>
        <w:jc w:val="both"/>
        <w:rPr>
          <w:rFonts w:ascii="Arial Narrow" w:hAnsi="Arial Narrow"/>
          <w:sz w:val="28"/>
          <w:szCs w:val="28"/>
        </w:rPr>
      </w:pPr>
    </w:p>
    <w:p w14:paraId="2F7F42C2" w14:textId="4C1503BF" w:rsidR="00B53295" w:rsidRPr="00E81FF2" w:rsidRDefault="00F863E6" w:rsidP="00DA6931">
      <w:pPr>
        <w:pStyle w:val="Prrafodelista"/>
        <w:spacing w:after="0" w:line="240" w:lineRule="auto"/>
        <w:jc w:val="both"/>
        <w:rPr>
          <w:rFonts w:ascii="Arial Narrow" w:hAnsi="Arial Narrow" w:cs="Arial"/>
          <w:color w:val="000000"/>
          <w:sz w:val="28"/>
          <w:szCs w:val="28"/>
        </w:rPr>
      </w:pPr>
      <w:r w:rsidRPr="008E6D3D">
        <w:rPr>
          <w:rFonts w:ascii="Arial Narrow" w:hAnsi="Arial Narrow"/>
          <w:b/>
          <w:sz w:val="28"/>
          <w:szCs w:val="28"/>
        </w:rPr>
        <w:t>R:</w:t>
      </w:r>
      <w:r w:rsidRPr="00E81FF2">
        <w:rPr>
          <w:rFonts w:ascii="Arial Narrow" w:hAnsi="Arial Narrow"/>
          <w:sz w:val="28"/>
          <w:szCs w:val="28"/>
        </w:rPr>
        <w:t xml:space="preserve"> ICETEX reconoce el mérito académico de población priorizada por el crédito educativo. Es por esto </w:t>
      </w:r>
      <w:r w:rsidR="00DD3B00" w:rsidRPr="00E81FF2">
        <w:rPr>
          <w:rFonts w:ascii="Arial Narrow" w:hAnsi="Arial Narrow"/>
          <w:sz w:val="28"/>
          <w:szCs w:val="28"/>
        </w:rPr>
        <w:t>que,</w:t>
      </w:r>
      <w:r w:rsidRPr="00E81FF2">
        <w:rPr>
          <w:rFonts w:ascii="Arial Narrow" w:hAnsi="Arial Narrow"/>
          <w:sz w:val="28"/>
          <w:szCs w:val="28"/>
        </w:rPr>
        <w:t xml:space="preserve"> dentro de los beneficios de esta financiación, está la condonación del 25% del crédito</w:t>
      </w:r>
      <w:r w:rsidR="00B53295" w:rsidRPr="00E81FF2">
        <w:rPr>
          <w:rFonts w:ascii="Arial Narrow" w:hAnsi="Arial Narrow"/>
          <w:sz w:val="28"/>
          <w:szCs w:val="28"/>
        </w:rPr>
        <w:t xml:space="preserve"> por la modalidad matrícula</w:t>
      </w:r>
      <w:r w:rsidRPr="00E81FF2">
        <w:rPr>
          <w:rFonts w:ascii="Arial Narrow" w:hAnsi="Arial Narrow"/>
          <w:sz w:val="28"/>
          <w:szCs w:val="28"/>
        </w:rPr>
        <w:t xml:space="preserve"> para los estudiantes</w:t>
      </w:r>
      <w:r w:rsidR="00B53295" w:rsidRPr="00E81FF2">
        <w:rPr>
          <w:rFonts w:ascii="Arial Narrow" w:hAnsi="Arial Narrow"/>
          <w:sz w:val="28"/>
          <w:szCs w:val="28"/>
        </w:rPr>
        <w:t xml:space="preserve"> graduados del programa financiado que estén</w:t>
      </w:r>
      <w:r w:rsidRPr="00E81FF2">
        <w:rPr>
          <w:rFonts w:ascii="Arial Narrow" w:hAnsi="Arial Narrow"/>
          <w:sz w:val="28"/>
          <w:szCs w:val="28"/>
        </w:rPr>
        <w:t xml:space="preserve"> sisbenizados </w:t>
      </w:r>
      <w:r w:rsidRPr="00E81FF2">
        <w:rPr>
          <w:rFonts w:ascii="Arial Narrow" w:hAnsi="Arial Narrow" w:cs="Arial"/>
          <w:color w:val="000000"/>
          <w:sz w:val="28"/>
          <w:szCs w:val="28"/>
        </w:rPr>
        <w:t xml:space="preserve">dentro del puntaje de corte estipulado para las convocatorias </w:t>
      </w:r>
      <w:r w:rsidR="00B53295" w:rsidRPr="00E81FF2">
        <w:rPr>
          <w:rFonts w:ascii="Arial Narrow" w:hAnsi="Arial Narrow" w:cs="Arial"/>
          <w:color w:val="000000"/>
          <w:sz w:val="28"/>
          <w:szCs w:val="28"/>
        </w:rPr>
        <w:t>en la que participó</w:t>
      </w:r>
      <w:r w:rsidRPr="00E81FF2">
        <w:rPr>
          <w:rFonts w:ascii="Arial Narrow" w:hAnsi="Arial Narrow" w:cs="Arial"/>
          <w:color w:val="000000"/>
          <w:sz w:val="28"/>
          <w:szCs w:val="28"/>
        </w:rPr>
        <w:t xml:space="preserve">.  </w:t>
      </w:r>
    </w:p>
    <w:p w14:paraId="4030DC0D" w14:textId="77777777" w:rsidR="00B53295" w:rsidRPr="00E81FF2" w:rsidRDefault="00B53295" w:rsidP="00DA6931">
      <w:pPr>
        <w:pStyle w:val="Prrafodelista"/>
        <w:spacing w:after="0" w:line="240" w:lineRule="auto"/>
        <w:jc w:val="both"/>
        <w:rPr>
          <w:rFonts w:ascii="Arial Narrow" w:eastAsia="Times New Roman" w:hAnsi="Arial Narrow"/>
          <w:sz w:val="28"/>
          <w:szCs w:val="28"/>
        </w:rPr>
      </w:pPr>
    </w:p>
    <w:p w14:paraId="2D76B4D1" w14:textId="77777777" w:rsidR="00B53295" w:rsidRPr="00E81FF2" w:rsidRDefault="00B53295" w:rsidP="00DA6931">
      <w:pPr>
        <w:pStyle w:val="Prrafodelista"/>
        <w:spacing w:after="0" w:line="240" w:lineRule="auto"/>
        <w:jc w:val="both"/>
        <w:rPr>
          <w:rFonts w:ascii="Arial Narrow" w:eastAsia="Times New Roman" w:hAnsi="Arial Narrow"/>
          <w:sz w:val="28"/>
          <w:szCs w:val="28"/>
        </w:rPr>
      </w:pPr>
      <w:r w:rsidRPr="00E81FF2">
        <w:rPr>
          <w:rFonts w:ascii="Arial Narrow" w:eastAsia="Times New Roman" w:hAnsi="Arial Narrow"/>
          <w:sz w:val="28"/>
          <w:szCs w:val="28"/>
        </w:rPr>
        <w:t xml:space="preserve">Vale señalar que este beneficiario debe haber accedido a una de las líneas de crédito destinadas a población sisbenizada y debe haberse graduado de la misma Institución de Educación Superior y programa académico para las cuales se le otorgo el crédito. </w:t>
      </w:r>
    </w:p>
    <w:p w14:paraId="3E038473" w14:textId="77777777" w:rsidR="00B53295" w:rsidRPr="00E81FF2" w:rsidRDefault="00B53295" w:rsidP="00DA6931">
      <w:pPr>
        <w:pStyle w:val="Prrafodelista"/>
        <w:spacing w:after="0" w:line="240" w:lineRule="auto"/>
        <w:jc w:val="both"/>
        <w:rPr>
          <w:rFonts w:ascii="Arial Narrow" w:eastAsia="Times New Roman" w:hAnsi="Arial Narrow"/>
          <w:sz w:val="28"/>
          <w:szCs w:val="28"/>
        </w:rPr>
      </w:pPr>
    </w:p>
    <w:p w14:paraId="27FD1768" w14:textId="77777777" w:rsidR="00F863E6" w:rsidRPr="00E81FF2" w:rsidRDefault="00B53295" w:rsidP="00DA6931">
      <w:pPr>
        <w:pStyle w:val="Prrafodelista"/>
        <w:numPr>
          <w:ilvl w:val="0"/>
          <w:numId w:val="3"/>
        </w:numPr>
        <w:spacing w:after="0" w:line="240" w:lineRule="auto"/>
        <w:jc w:val="both"/>
        <w:rPr>
          <w:rFonts w:ascii="Arial Narrow" w:eastAsia="Times New Roman" w:hAnsi="Arial Narrow"/>
          <w:b/>
          <w:sz w:val="28"/>
          <w:szCs w:val="28"/>
        </w:rPr>
      </w:pPr>
      <w:r w:rsidRPr="00E81FF2">
        <w:rPr>
          <w:rFonts w:ascii="Arial Narrow" w:eastAsia="Times New Roman" w:hAnsi="Arial Narrow"/>
          <w:b/>
          <w:sz w:val="28"/>
          <w:szCs w:val="28"/>
        </w:rPr>
        <w:t>Nadia Bernal (Correo electrónico)</w:t>
      </w:r>
      <w:r w:rsidR="00CE7544" w:rsidRPr="00E81FF2">
        <w:rPr>
          <w:rFonts w:ascii="Arial Narrow" w:eastAsia="Times New Roman" w:hAnsi="Arial Narrow"/>
          <w:b/>
          <w:sz w:val="28"/>
          <w:szCs w:val="28"/>
        </w:rPr>
        <w:t xml:space="preserve">: </w:t>
      </w:r>
      <w:r w:rsidR="00F863E6" w:rsidRPr="00E81FF2">
        <w:rPr>
          <w:rFonts w:ascii="Arial Narrow" w:hAnsi="Arial Narrow"/>
          <w:i/>
          <w:sz w:val="28"/>
          <w:szCs w:val="28"/>
        </w:rPr>
        <w:t>Me gustaría saber, ¿desde qué edad se puede aplicar al programa de becas del ICETEX y si es requisito obligatorio saber inglés?</w:t>
      </w:r>
      <w:bookmarkStart w:id="0" w:name="_GoBack"/>
      <w:bookmarkEnd w:id="0"/>
    </w:p>
    <w:p w14:paraId="3377AC47" w14:textId="77777777" w:rsidR="00581ECE" w:rsidRPr="00E81FF2" w:rsidRDefault="00581ECE" w:rsidP="00DA6931">
      <w:pPr>
        <w:pStyle w:val="Prrafodelista"/>
        <w:spacing w:after="0" w:line="240" w:lineRule="auto"/>
        <w:jc w:val="both"/>
        <w:rPr>
          <w:rFonts w:ascii="Arial Narrow" w:hAnsi="Arial Narrow"/>
          <w:sz w:val="28"/>
          <w:szCs w:val="28"/>
        </w:rPr>
      </w:pPr>
    </w:p>
    <w:p w14:paraId="1118DBD0" w14:textId="77777777" w:rsidR="00DA6931" w:rsidRPr="00E81FF2" w:rsidRDefault="00581ECE" w:rsidP="00DA6931">
      <w:pPr>
        <w:pStyle w:val="Prrafodelista"/>
        <w:spacing w:after="0" w:line="240" w:lineRule="auto"/>
        <w:jc w:val="both"/>
        <w:rPr>
          <w:rFonts w:ascii="Arial Narrow" w:hAnsi="Arial Narrow"/>
          <w:sz w:val="28"/>
          <w:szCs w:val="28"/>
        </w:rPr>
      </w:pPr>
      <w:r w:rsidRPr="008E6D3D">
        <w:rPr>
          <w:rFonts w:ascii="Arial Narrow" w:hAnsi="Arial Narrow"/>
          <w:b/>
          <w:sz w:val="28"/>
          <w:szCs w:val="28"/>
        </w:rPr>
        <w:t>R:</w:t>
      </w:r>
      <w:r w:rsidRPr="00E81FF2">
        <w:rPr>
          <w:rFonts w:ascii="Arial Narrow" w:hAnsi="Arial Narrow"/>
          <w:sz w:val="28"/>
          <w:szCs w:val="28"/>
        </w:rPr>
        <w:t xml:space="preserve"> Para acceder a una beca internacional la convocatoria de dicha oferta especifica dentro de sus requisitos </w:t>
      </w:r>
      <w:r w:rsidR="00DA6931" w:rsidRPr="00E81FF2">
        <w:rPr>
          <w:rFonts w:ascii="Arial Narrow" w:hAnsi="Arial Narrow"/>
          <w:sz w:val="28"/>
          <w:szCs w:val="28"/>
        </w:rPr>
        <w:t xml:space="preserve">la edad mínima para postularse. </w:t>
      </w:r>
    </w:p>
    <w:p w14:paraId="01B58100" w14:textId="77777777" w:rsidR="00DA6931" w:rsidRPr="00E81FF2" w:rsidRDefault="00DA6931" w:rsidP="00DA6931">
      <w:pPr>
        <w:pStyle w:val="Prrafodelista"/>
        <w:spacing w:after="0" w:line="240" w:lineRule="auto"/>
        <w:jc w:val="both"/>
        <w:rPr>
          <w:rFonts w:ascii="Arial Narrow" w:hAnsi="Arial Narrow"/>
          <w:sz w:val="28"/>
          <w:szCs w:val="28"/>
        </w:rPr>
      </w:pPr>
    </w:p>
    <w:p w14:paraId="2B228696" w14:textId="77777777" w:rsidR="00581ECE" w:rsidRPr="00E81FF2" w:rsidRDefault="00DA6931" w:rsidP="00DA6931">
      <w:pPr>
        <w:pStyle w:val="Prrafodelista"/>
        <w:spacing w:after="0" w:line="240" w:lineRule="auto"/>
        <w:jc w:val="both"/>
        <w:rPr>
          <w:rFonts w:ascii="Arial Narrow" w:hAnsi="Arial Narrow"/>
          <w:sz w:val="28"/>
          <w:szCs w:val="28"/>
        </w:rPr>
      </w:pPr>
      <w:r w:rsidRPr="00E81FF2">
        <w:rPr>
          <w:rFonts w:ascii="Arial Narrow" w:hAnsi="Arial Narrow"/>
          <w:sz w:val="28"/>
          <w:szCs w:val="28"/>
        </w:rPr>
        <w:t xml:space="preserve">También, dentro de estos requisitos se explicita si se requiere el conocimiento de un segundo idioma (esto sucede en oferta de becas con destino a un país en el que se hable una lengua principal diferente al español), lo cual se debe certificar a través de un examen pertinente como IELTS o TOEFL, o el que señale la convocatoria. El conocimiento certificado de inglés no es obligatoria en todas las ofertas pero sí es requisito para acceder a las becas de estudios que requieran el manejo de este idioma. </w:t>
      </w:r>
    </w:p>
    <w:p w14:paraId="6691FB10" w14:textId="77777777" w:rsidR="00DA6931" w:rsidRPr="00E81FF2" w:rsidRDefault="00DA6931" w:rsidP="00DA6931">
      <w:pPr>
        <w:pStyle w:val="Prrafodelista"/>
        <w:spacing w:after="0" w:line="240" w:lineRule="auto"/>
        <w:jc w:val="both"/>
        <w:rPr>
          <w:rFonts w:ascii="Arial Narrow" w:hAnsi="Arial Narrow"/>
          <w:sz w:val="28"/>
          <w:szCs w:val="28"/>
        </w:rPr>
      </w:pPr>
    </w:p>
    <w:p w14:paraId="09598C1A" w14:textId="77777777" w:rsidR="00DA6931" w:rsidRPr="00E81FF2" w:rsidRDefault="00DA6931" w:rsidP="00DA6931">
      <w:pPr>
        <w:pStyle w:val="Prrafodelista"/>
        <w:spacing w:after="0" w:line="240" w:lineRule="auto"/>
        <w:jc w:val="both"/>
        <w:rPr>
          <w:rFonts w:ascii="Arial Narrow" w:hAnsi="Arial Narrow"/>
          <w:sz w:val="28"/>
          <w:szCs w:val="28"/>
        </w:rPr>
      </w:pPr>
      <w:r w:rsidRPr="00E81FF2">
        <w:rPr>
          <w:rFonts w:ascii="Arial Narrow" w:hAnsi="Arial Narrow"/>
          <w:sz w:val="28"/>
          <w:szCs w:val="28"/>
        </w:rPr>
        <w:t xml:space="preserve">Para conocer las convocatorias vigentes de becas internacionales, así como sus requisitos, los colombianos pueden acceder a </w:t>
      </w:r>
      <w:hyperlink r:id="rId7" w:history="1">
        <w:r w:rsidRPr="00E81FF2">
          <w:rPr>
            <w:rStyle w:val="Hipervnculo"/>
            <w:rFonts w:ascii="Arial Narrow" w:hAnsi="Arial Narrow"/>
            <w:sz w:val="28"/>
            <w:szCs w:val="28"/>
          </w:rPr>
          <w:t>www.icetex.gov.co</w:t>
        </w:r>
      </w:hyperlink>
      <w:r w:rsidRPr="00E81FF2">
        <w:rPr>
          <w:rFonts w:ascii="Arial Narrow" w:hAnsi="Arial Narrow"/>
          <w:sz w:val="28"/>
          <w:szCs w:val="28"/>
        </w:rPr>
        <w:t>, sección ‘Becas’.</w:t>
      </w:r>
    </w:p>
    <w:p w14:paraId="4B607B84" w14:textId="77777777" w:rsidR="00DA6931" w:rsidRPr="00E81FF2" w:rsidRDefault="00DA6931" w:rsidP="00DA6931">
      <w:pPr>
        <w:pStyle w:val="Prrafodelista"/>
        <w:spacing w:after="0" w:line="240" w:lineRule="auto"/>
        <w:jc w:val="both"/>
        <w:rPr>
          <w:rFonts w:ascii="Arial Narrow" w:hAnsi="Arial Narrow"/>
          <w:sz w:val="28"/>
          <w:szCs w:val="28"/>
        </w:rPr>
      </w:pPr>
    </w:p>
    <w:p w14:paraId="4F6F4806" w14:textId="77777777" w:rsidR="00DA6931" w:rsidRPr="00E81FF2" w:rsidRDefault="00E81FF2" w:rsidP="00DA6931">
      <w:pPr>
        <w:pStyle w:val="Prrafodelista"/>
        <w:numPr>
          <w:ilvl w:val="0"/>
          <w:numId w:val="3"/>
        </w:numPr>
        <w:spacing w:after="0" w:line="240" w:lineRule="auto"/>
        <w:jc w:val="both"/>
        <w:rPr>
          <w:rFonts w:ascii="Arial Narrow" w:hAnsi="Arial Narrow"/>
          <w:i/>
          <w:sz w:val="28"/>
          <w:szCs w:val="28"/>
        </w:rPr>
      </w:pPr>
      <w:r w:rsidRPr="00E81FF2">
        <w:rPr>
          <w:rFonts w:ascii="Arial Narrow" w:hAnsi="Arial Narrow"/>
          <w:b/>
          <w:sz w:val="28"/>
          <w:szCs w:val="28"/>
        </w:rPr>
        <w:t>Daniel Correa (video):</w:t>
      </w:r>
      <w:r>
        <w:rPr>
          <w:rFonts w:ascii="Arial Narrow" w:hAnsi="Arial Narrow"/>
          <w:b/>
          <w:sz w:val="28"/>
          <w:szCs w:val="28"/>
        </w:rPr>
        <w:t xml:space="preserve"> </w:t>
      </w:r>
      <w:r w:rsidR="00DA6931" w:rsidRPr="00E81FF2">
        <w:rPr>
          <w:rFonts w:ascii="Arial Narrow" w:hAnsi="Arial Narrow"/>
          <w:i/>
          <w:sz w:val="28"/>
          <w:szCs w:val="28"/>
        </w:rPr>
        <w:t>¿Es verdad que, si tomo un año de gracia, al terminar mis estudios, los intereses me suman a las cuotas?</w:t>
      </w:r>
    </w:p>
    <w:p w14:paraId="7B2AFC8C" w14:textId="77777777" w:rsidR="00DA6931" w:rsidRPr="00E81FF2" w:rsidRDefault="00DA6931" w:rsidP="00581ECE">
      <w:pPr>
        <w:pStyle w:val="Prrafodelista"/>
        <w:spacing w:after="0" w:line="240" w:lineRule="auto"/>
        <w:jc w:val="both"/>
        <w:rPr>
          <w:rFonts w:ascii="Arial Narrow" w:hAnsi="Arial Narrow"/>
          <w:sz w:val="28"/>
          <w:szCs w:val="28"/>
        </w:rPr>
      </w:pPr>
    </w:p>
    <w:p w14:paraId="3B27760E" w14:textId="7B265B2F" w:rsidR="00E81FF2" w:rsidRPr="00E81FF2" w:rsidRDefault="008E6D3D" w:rsidP="00581ECE">
      <w:pPr>
        <w:pStyle w:val="Prrafodelista"/>
        <w:spacing w:after="0" w:line="240" w:lineRule="auto"/>
        <w:jc w:val="both"/>
        <w:rPr>
          <w:rFonts w:ascii="Arial Narrow" w:hAnsi="Arial Narrow"/>
          <w:sz w:val="28"/>
          <w:szCs w:val="28"/>
        </w:rPr>
      </w:pPr>
      <w:r w:rsidRPr="008E6D3D">
        <w:rPr>
          <w:rFonts w:ascii="Arial Narrow" w:hAnsi="Arial Narrow"/>
          <w:b/>
          <w:sz w:val="28"/>
          <w:szCs w:val="28"/>
        </w:rPr>
        <w:t>R:</w:t>
      </w:r>
      <w:r>
        <w:rPr>
          <w:rFonts w:ascii="Arial Narrow" w:hAnsi="Arial Narrow"/>
          <w:sz w:val="28"/>
          <w:szCs w:val="28"/>
        </w:rPr>
        <w:t xml:space="preserve"> </w:t>
      </w:r>
      <w:r w:rsidR="00E81FF2" w:rsidRPr="00E81FF2">
        <w:rPr>
          <w:rFonts w:ascii="Arial Narrow" w:hAnsi="Arial Narrow"/>
          <w:sz w:val="28"/>
          <w:szCs w:val="28"/>
        </w:rPr>
        <w:t>Teniendo en cuenta el comportamiento de cualquier crédito financiero, e</w:t>
      </w:r>
      <w:r w:rsidR="00DA6931" w:rsidRPr="00E81FF2">
        <w:rPr>
          <w:rFonts w:ascii="Arial Narrow" w:hAnsi="Arial Narrow"/>
          <w:sz w:val="28"/>
          <w:szCs w:val="28"/>
        </w:rPr>
        <w:t xml:space="preserve">s necesario saber que tomar un año de gracia </w:t>
      </w:r>
      <w:r w:rsidR="00E81FF2" w:rsidRPr="00E81FF2">
        <w:rPr>
          <w:rFonts w:ascii="Arial Narrow" w:hAnsi="Arial Narrow"/>
          <w:sz w:val="28"/>
          <w:szCs w:val="28"/>
        </w:rPr>
        <w:t>en un crédito ICETEX</w:t>
      </w:r>
      <w:r w:rsidR="00041FAD">
        <w:rPr>
          <w:rFonts w:ascii="Arial Narrow" w:hAnsi="Arial Narrow"/>
          <w:sz w:val="28"/>
          <w:szCs w:val="28"/>
        </w:rPr>
        <w:t>,</w:t>
      </w:r>
      <w:r w:rsidR="00E81FF2" w:rsidRPr="00E81FF2">
        <w:rPr>
          <w:rFonts w:ascii="Arial Narrow" w:hAnsi="Arial Narrow"/>
          <w:sz w:val="28"/>
          <w:szCs w:val="28"/>
        </w:rPr>
        <w:t xml:space="preserve"> antes de iniciar el período de reembolso</w:t>
      </w:r>
      <w:r w:rsidR="00041FAD">
        <w:rPr>
          <w:rFonts w:ascii="Arial Narrow" w:hAnsi="Arial Narrow"/>
          <w:sz w:val="28"/>
          <w:szCs w:val="28"/>
        </w:rPr>
        <w:t>,</w:t>
      </w:r>
      <w:r w:rsidR="00E81FF2" w:rsidRPr="00E81FF2">
        <w:rPr>
          <w:rFonts w:ascii="Arial Narrow" w:hAnsi="Arial Narrow"/>
          <w:sz w:val="28"/>
          <w:szCs w:val="28"/>
        </w:rPr>
        <w:t xml:space="preserve"> </w:t>
      </w:r>
      <w:r w:rsidR="00DA6931" w:rsidRPr="00E81FF2">
        <w:rPr>
          <w:rFonts w:ascii="Arial Narrow" w:hAnsi="Arial Narrow"/>
          <w:sz w:val="28"/>
          <w:szCs w:val="28"/>
        </w:rPr>
        <w:t>no congel</w:t>
      </w:r>
      <w:r w:rsidR="00041FAD">
        <w:rPr>
          <w:rFonts w:ascii="Arial Narrow" w:hAnsi="Arial Narrow"/>
          <w:sz w:val="28"/>
          <w:szCs w:val="28"/>
        </w:rPr>
        <w:t>a</w:t>
      </w:r>
      <w:r w:rsidR="00DA6931" w:rsidRPr="00E81FF2">
        <w:rPr>
          <w:rFonts w:ascii="Arial Narrow" w:hAnsi="Arial Narrow"/>
          <w:sz w:val="28"/>
          <w:szCs w:val="28"/>
        </w:rPr>
        <w:t xml:space="preserve"> los intereses. </w:t>
      </w:r>
      <w:r w:rsidR="00041FAD">
        <w:rPr>
          <w:rFonts w:ascii="Arial Narrow" w:hAnsi="Arial Narrow"/>
          <w:sz w:val="28"/>
          <w:szCs w:val="28"/>
        </w:rPr>
        <w:t xml:space="preserve">Estos </w:t>
      </w:r>
      <w:r w:rsidR="00E81FF2" w:rsidRPr="00E81FF2">
        <w:rPr>
          <w:rFonts w:ascii="Arial Narrow" w:hAnsi="Arial Narrow"/>
          <w:sz w:val="28"/>
          <w:szCs w:val="28"/>
        </w:rPr>
        <w:t xml:space="preserve">se siguen acumulando durante este </w:t>
      </w:r>
      <w:r w:rsidR="00E81FF2" w:rsidRPr="00E81FF2">
        <w:rPr>
          <w:rFonts w:ascii="Arial Narrow" w:hAnsi="Arial Narrow"/>
          <w:sz w:val="28"/>
          <w:szCs w:val="28"/>
        </w:rPr>
        <w:lastRenderedPageBreak/>
        <w:t>período de no pago, lo cual se reflejará en la obligación a pagar y estará distribuidas en las cuotas de pago acordadas con la entidad.</w:t>
      </w:r>
    </w:p>
    <w:p w14:paraId="73E8BFD7" w14:textId="77777777" w:rsidR="00E81FF2" w:rsidRPr="00E81FF2" w:rsidRDefault="00E81FF2" w:rsidP="00581ECE">
      <w:pPr>
        <w:pStyle w:val="Prrafodelista"/>
        <w:spacing w:after="0" w:line="240" w:lineRule="auto"/>
        <w:jc w:val="both"/>
        <w:rPr>
          <w:rFonts w:ascii="Arial Narrow" w:hAnsi="Arial Narrow"/>
          <w:sz w:val="28"/>
          <w:szCs w:val="28"/>
        </w:rPr>
      </w:pPr>
    </w:p>
    <w:p w14:paraId="43148342" w14:textId="77777777" w:rsidR="00E81FF2" w:rsidRDefault="00E81FF2" w:rsidP="00E81FF2">
      <w:pPr>
        <w:pStyle w:val="Prrafodelista"/>
        <w:numPr>
          <w:ilvl w:val="0"/>
          <w:numId w:val="3"/>
        </w:numPr>
        <w:spacing w:after="0" w:line="240" w:lineRule="auto"/>
        <w:jc w:val="both"/>
        <w:rPr>
          <w:rFonts w:ascii="Arial Narrow" w:hAnsi="Arial Narrow"/>
          <w:sz w:val="28"/>
          <w:szCs w:val="28"/>
        </w:rPr>
      </w:pPr>
      <w:r w:rsidRPr="008E6D3D">
        <w:rPr>
          <w:rFonts w:ascii="Arial Narrow" w:hAnsi="Arial Narrow"/>
          <w:b/>
          <w:sz w:val="28"/>
          <w:szCs w:val="28"/>
        </w:rPr>
        <w:t>Jeison Díaz (Twitter)</w:t>
      </w:r>
      <w:r w:rsidR="008E6D3D" w:rsidRPr="008E6D3D">
        <w:rPr>
          <w:rFonts w:ascii="Arial Narrow" w:hAnsi="Arial Narrow"/>
          <w:b/>
          <w:sz w:val="28"/>
          <w:szCs w:val="28"/>
        </w:rPr>
        <w:t>:</w:t>
      </w:r>
      <w:r>
        <w:rPr>
          <w:rFonts w:ascii="Arial Narrow" w:hAnsi="Arial Narrow"/>
          <w:sz w:val="28"/>
          <w:szCs w:val="28"/>
        </w:rPr>
        <w:t xml:space="preserve"> </w:t>
      </w:r>
      <w:r w:rsidRPr="008E6D3D">
        <w:rPr>
          <w:rFonts w:ascii="Arial Narrow" w:hAnsi="Arial Narrow"/>
          <w:i/>
          <w:sz w:val="28"/>
          <w:szCs w:val="28"/>
        </w:rPr>
        <w:t>Soy de Ser Pilo Paga 2, estudio en la UPB Colombia. Aún no he recibido el subsidio de sostenimiento. ¿Qué debo hacer o cuánto debo esperar?</w:t>
      </w:r>
      <w:r>
        <w:rPr>
          <w:rFonts w:ascii="Arial Narrow" w:hAnsi="Arial Narrow"/>
          <w:sz w:val="28"/>
          <w:szCs w:val="28"/>
        </w:rPr>
        <w:t xml:space="preserve"> </w:t>
      </w:r>
    </w:p>
    <w:p w14:paraId="04FC410A" w14:textId="77777777" w:rsidR="00E81FF2" w:rsidRPr="00E81FF2" w:rsidRDefault="00E81FF2" w:rsidP="00E81FF2">
      <w:pPr>
        <w:pStyle w:val="Prrafodelista"/>
        <w:spacing w:after="0" w:line="240" w:lineRule="auto"/>
        <w:jc w:val="both"/>
        <w:rPr>
          <w:rFonts w:ascii="Arial Narrow" w:hAnsi="Arial Narrow"/>
          <w:sz w:val="28"/>
          <w:szCs w:val="28"/>
        </w:rPr>
      </w:pPr>
    </w:p>
    <w:p w14:paraId="5C57C9BD" w14:textId="77777777" w:rsidR="00E81FF2" w:rsidRPr="00E81FF2" w:rsidRDefault="008E6D3D" w:rsidP="00E81FF2">
      <w:pPr>
        <w:pStyle w:val="Prrafodelista"/>
        <w:spacing w:after="0" w:line="240" w:lineRule="auto"/>
        <w:jc w:val="both"/>
        <w:rPr>
          <w:rFonts w:ascii="Arial Narrow" w:hAnsi="Arial Narrow"/>
          <w:sz w:val="28"/>
          <w:szCs w:val="28"/>
        </w:rPr>
      </w:pPr>
      <w:r w:rsidRPr="008E6D3D">
        <w:rPr>
          <w:rFonts w:ascii="Arial Narrow" w:hAnsi="Arial Narrow"/>
          <w:b/>
          <w:sz w:val="28"/>
          <w:szCs w:val="28"/>
        </w:rPr>
        <w:t>R:</w:t>
      </w:r>
      <w:r>
        <w:rPr>
          <w:rFonts w:ascii="Arial Narrow" w:hAnsi="Arial Narrow"/>
          <w:sz w:val="28"/>
          <w:szCs w:val="28"/>
        </w:rPr>
        <w:t xml:space="preserve"> </w:t>
      </w:r>
      <w:r w:rsidR="00E81FF2" w:rsidRPr="00E81FF2">
        <w:rPr>
          <w:rFonts w:ascii="Arial Narrow" w:hAnsi="Arial Narrow"/>
          <w:sz w:val="28"/>
          <w:szCs w:val="28"/>
        </w:rPr>
        <w:t xml:space="preserve">Desde ICETEX reiteramos que la entidad ha cumplido con los giros de sostenimiento para los estudiantes del programa Ser Pilo Paga que han llenan requisitos para que se realicen dichos desembolsos. </w:t>
      </w:r>
    </w:p>
    <w:p w14:paraId="2EE33ED6" w14:textId="77777777" w:rsidR="00E81FF2" w:rsidRPr="00E81FF2" w:rsidRDefault="00E81FF2" w:rsidP="00E81FF2">
      <w:pPr>
        <w:pStyle w:val="Prrafodelista"/>
        <w:spacing w:after="0" w:line="240" w:lineRule="auto"/>
        <w:jc w:val="both"/>
        <w:rPr>
          <w:rFonts w:ascii="Arial Narrow" w:hAnsi="Arial Narrow"/>
          <w:sz w:val="28"/>
          <w:szCs w:val="28"/>
        </w:rPr>
      </w:pPr>
    </w:p>
    <w:p w14:paraId="5EEE7626" w14:textId="77777777" w:rsidR="00E81FF2" w:rsidRPr="00E81FF2" w:rsidRDefault="00E81FF2" w:rsidP="00E81FF2">
      <w:pPr>
        <w:pStyle w:val="Prrafodelista"/>
        <w:spacing w:after="0" w:line="240" w:lineRule="auto"/>
        <w:jc w:val="both"/>
        <w:rPr>
          <w:rFonts w:ascii="Arial Narrow" w:hAnsi="Arial Narrow"/>
          <w:sz w:val="28"/>
          <w:szCs w:val="28"/>
        </w:rPr>
      </w:pPr>
      <w:r w:rsidRPr="00E81FF2">
        <w:rPr>
          <w:rFonts w:ascii="Arial Narrow" w:hAnsi="Arial Narrow"/>
          <w:sz w:val="28"/>
          <w:szCs w:val="28"/>
        </w:rPr>
        <w:t xml:space="preserve">A la fecha ICETEX ha cumplido a cabalidad con el 100% de los desembolsos de los giros de sostenimiento de los estudiantes de Ser Pilo Paga que tenían derecho al primer y segundo giro por haber cumplido con los requisitos que establece el reglamento del programa:  Haber culminado su semestre académico 2018-2; y haber realizado su proceso de renovación de matrícula y estar cursando el período académico correspondiente al primer semestre del 2019.   </w:t>
      </w:r>
    </w:p>
    <w:p w14:paraId="7D378AE9" w14:textId="77777777" w:rsidR="00E81FF2" w:rsidRPr="00E81FF2" w:rsidRDefault="00E81FF2" w:rsidP="00E81FF2">
      <w:pPr>
        <w:spacing w:after="0" w:line="240" w:lineRule="auto"/>
        <w:jc w:val="both"/>
        <w:rPr>
          <w:rFonts w:ascii="Arial Narrow" w:hAnsi="Arial Narrow"/>
          <w:sz w:val="28"/>
          <w:szCs w:val="28"/>
        </w:rPr>
      </w:pPr>
    </w:p>
    <w:p w14:paraId="56D8F731" w14:textId="77777777" w:rsidR="00E81FF2" w:rsidRPr="00E81FF2" w:rsidRDefault="00E81FF2" w:rsidP="00E81FF2">
      <w:pPr>
        <w:pStyle w:val="Prrafodelista"/>
        <w:spacing w:after="0" w:line="240" w:lineRule="auto"/>
        <w:jc w:val="both"/>
        <w:rPr>
          <w:rFonts w:ascii="Arial Narrow" w:hAnsi="Arial Narrow"/>
          <w:sz w:val="28"/>
          <w:szCs w:val="28"/>
        </w:rPr>
      </w:pPr>
      <w:r w:rsidRPr="00E81FF2">
        <w:rPr>
          <w:rFonts w:ascii="Arial Narrow" w:hAnsi="Arial Narrow"/>
          <w:sz w:val="28"/>
          <w:szCs w:val="28"/>
        </w:rPr>
        <w:t xml:space="preserve">Sin embargo, </w:t>
      </w:r>
      <w:r>
        <w:rPr>
          <w:rFonts w:ascii="Arial Narrow" w:hAnsi="Arial Narrow"/>
          <w:sz w:val="28"/>
          <w:szCs w:val="28"/>
        </w:rPr>
        <w:t>precisamos</w:t>
      </w:r>
      <w:r w:rsidRPr="00E81FF2">
        <w:rPr>
          <w:rFonts w:ascii="Arial Narrow" w:hAnsi="Arial Narrow"/>
          <w:sz w:val="28"/>
          <w:szCs w:val="28"/>
        </w:rPr>
        <w:t xml:space="preserve"> que 3.524 beneficiarios de Ser Pilo Paga han experimentado modificaciones en las fechas de culminación de su semestre académico 2018-2. De estos, tan solo cerca de la mitad han renovado su matrícula desde el inicio de abril para el período de 2019-1. Es por esto que ICETEX ha extendido los calendarios de renovación para que los estudiantes que aún no han realizado su proceso reporten la culminación de su semestre 2018-2 y puedan obtener los beneficios que les corresponden por el inicio del semestre académico 2019-1. </w:t>
      </w:r>
    </w:p>
    <w:p w14:paraId="5C8FF807" w14:textId="77777777" w:rsidR="00E81FF2" w:rsidRPr="00E81FF2" w:rsidRDefault="00E81FF2" w:rsidP="00E81FF2">
      <w:pPr>
        <w:pStyle w:val="Prrafodelista"/>
        <w:spacing w:after="0" w:line="240" w:lineRule="auto"/>
        <w:jc w:val="both"/>
        <w:rPr>
          <w:rFonts w:ascii="Arial Narrow" w:hAnsi="Arial Narrow"/>
          <w:sz w:val="28"/>
          <w:szCs w:val="28"/>
        </w:rPr>
      </w:pPr>
    </w:p>
    <w:p w14:paraId="1A2B0D98" w14:textId="77777777" w:rsidR="00E81FF2" w:rsidRPr="00E81FF2" w:rsidRDefault="00E81FF2" w:rsidP="00E81FF2">
      <w:pPr>
        <w:pStyle w:val="Prrafodelista"/>
        <w:spacing w:after="0" w:line="240" w:lineRule="auto"/>
        <w:jc w:val="both"/>
        <w:rPr>
          <w:rFonts w:ascii="Arial Narrow" w:hAnsi="Arial Narrow"/>
          <w:sz w:val="28"/>
          <w:szCs w:val="28"/>
        </w:rPr>
      </w:pPr>
      <w:r w:rsidRPr="00E81FF2">
        <w:rPr>
          <w:rFonts w:ascii="Arial Narrow" w:hAnsi="Arial Narrow"/>
          <w:sz w:val="28"/>
          <w:szCs w:val="28"/>
        </w:rPr>
        <w:t>Una vez adelanten dicho proceso, así como la actualización de datos, la entidad requiere de un tiempo prudencial para realizar las validaciones correspondientes y adelantar el proceso de giro, estimado en semana y media.</w:t>
      </w:r>
    </w:p>
    <w:p w14:paraId="00B54D06" w14:textId="77777777" w:rsidR="00E81FF2" w:rsidRPr="00E81FF2" w:rsidRDefault="00E81FF2" w:rsidP="00E81FF2">
      <w:pPr>
        <w:pStyle w:val="Prrafodelista"/>
        <w:spacing w:after="0" w:line="240" w:lineRule="auto"/>
        <w:jc w:val="both"/>
        <w:rPr>
          <w:rFonts w:ascii="Arial Narrow" w:hAnsi="Arial Narrow"/>
          <w:sz w:val="28"/>
          <w:szCs w:val="28"/>
        </w:rPr>
      </w:pPr>
    </w:p>
    <w:p w14:paraId="465899A0" w14:textId="77777777" w:rsidR="00E81FF2" w:rsidRPr="00E81FF2" w:rsidRDefault="00E81FF2" w:rsidP="00E81FF2">
      <w:pPr>
        <w:pStyle w:val="Prrafodelista"/>
        <w:spacing w:after="0" w:line="240" w:lineRule="auto"/>
        <w:jc w:val="both"/>
        <w:rPr>
          <w:rFonts w:ascii="Arial Narrow" w:hAnsi="Arial Narrow" w:cs="Arial"/>
          <w:color w:val="000000"/>
          <w:sz w:val="28"/>
          <w:szCs w:val="28"/>
        </w:rPr>
      </w:pPr>
      <w:r w:rsidRPr="00E81FF2">
        <w:rPr>
          <w:rFonts w:ascii="Arial Narrow" w:hAnsi="Arial Narrow"/>
          <w:sz w:val="28"/>
          <w:szCs w:val="28"/>
        </w:rPr>
        <w:t xml:space="preserve">Aprovechamos este espacio para reiterar nuestro llamado a los </w:t>
      </w:r>
      <w:r w:rsidRPr="00E81FF2">
        <w:rPr>
          <w:rFonts w:ascii="Arial Narrow" w:hAnsi="Arial Narrow" w:cs="Arial"/>
          <w:color w:val="000000"/>
          <w:sz w:val="28"/>
          <w:szCs w:val="28"/>
        </w:rPr>
        <w:t xml:space="preserve">beneficiarios interesados en estos giros, que no han actualizado sus datos o habilitado su cuenta CATS en su entidad bancaria, a que hagan este proceso lo más pronto, ya que estas dos condiciones son necesarias para realizar los desembolsos de sostenimiento. </w:t>
      </w:r>
    </w:p>
    <w:p w14:paraId="500A5CAD" w14:textId="77777777" w:rsidR="00E81FF2" w:rsidRPr="00E81FF2" w:rsidRDefault="00E81FF2" w:rsidP="00E81FF2">
      <w:pPr>
        <w:pStyle w:val="Prrafodelista"/>
        <w:spacing w:after="0" w:line="240" w:lineRule="auto"/>
        <w:jc w:val="both"/>
        <w:rPr>
          <w:rFonts w:ascii="Arial Narrow" w:hAnsi="Arial Narrow" w:cs="Arial"/>
          <w:color w:val="000000"/>
          <w:sz w:val="28"/>
          <w:szCs w:val="28"/>
        </w:rPr>
      </w:pPr>
    </w:p>
    <w:p w14:paraId="38923E14" w14:textId="77777777" w:rsidR="00E81FF2" w:rsidRPr="00E81FF2" w:rsidRDefault="00E81FF2" w:rsidP="00E81FF2">
      <w:pPr>
        <w:pStyle w:val="Prrafodelista"/>
        <w:numPr>
          <w:ilvl w:val="0"/>
          <w:numId w:val="3"/>
        </w:numPr>
        <w:spacing w:after="0" w:line="240" w:lineRule="auto"/>
        <w:jc w:val="both"/>
        <w:rPr>
          <w:rFonts w:ascii="Arial Narrow" w:hAnsi="Arial Narrow" w:cs="Arial"/>
          <w:color w:val="000000"/>
          <w:sz w:val="28"/>
          <w:szCs w:val="28"/>
        </w:rPr>
      </w:pPr>
      <w:r w:rsidRPr="00E81FF2">
        <w:rPr>
          <w:rFonts w:ascii="Arial Narrow" w:hAnsi="Arial Narrow" w:cs="Arial"/>
          <w:b/>
          <w:color w:val="000000"/>
          <w:sz w:val="28"/>
          <w:szCs w:val="28"/>
        </w:rPr>
        <w:t>John Jairo Astaiza (Facebook):</w:t>
      </w:r>
      <w:r w:rsidRPr="00E81FF2">
        <w:rPr>
          <w:rFonts w:ascii="Arial Narrow" w:hAnsi="Arial Narrow" w:cs="Arial"/>
          <w:color w:val="000000"/>
          <w:sz w:val="28"/>
          <w:szCs w:val="28"/>
        </w:rPr>
        <w:t xml:space="preserve"> </w:t>
      </w:r>
      <w:r w:rsidRPr="00E81FF2">
        <w:rPr>
          <w:rFonts w:ascii="Arial Narrow" w:hAnsi="Arial Narrow" w:cs="Arial"/>
          <w:i/>
          <w:color w:val="000000"/>
          <w:sz w:val="28"/>
          <w:szCs w:val="28"/>
        </w:rPr>
        <w:t>¿Qué pasó con la modalidad de crédito educativo Financiación Contingente al Ingreso?</w:t>
      </w:r>
    </w:p>
    <w:p w14:paraId="5D6447F3" w14:textId="77777777" w:rsidR="00E81FF2" w:rsidRPr="00E81FF2" w:rsidRDefault="00E81FF2" w:rsidP="00E81FF2">
      <w:pPr>
        <w:pStyle w:val="Prrafodelista"/>
        <w:spacing w:after="0" w:line="240" w:lineRule="auto"/>
        <w:jc w:val="both"/>
        <w:rPr>
          <w:rFonts w:ascii="Arial Narrow" w:hAnsi="Arial Narrow" w:cs="Arial"/>
          <w:color w:val="000000"/>
          <w:sz w:val="28"/>
          <w:szCs w:val="28"/>
        </w:rPr>
      </w:pPr>
    </w:p>
    <w:p w14:paraId="6B292871" w14:textId="77777777" w:rsidR="00E81FF2" w:rsidRDefault="008E6D3D" w:rsidP="00E81FF2">
      <w:pPr>
        <w:pStyle w:val="Prrafodelista"/>
        <w:spacing w:after="0" w:line="240" w:lineRule="auto"/>
        <w:jc w:val="both"/>
        <w:rPr>
          <w:rFonts w:ascii="Arial Narrow" w:hAnsi="Arial Narrow" w:cs="Arial"/>
          <w:color w:val="000000"/>
          <w:sz w:val="28"/>
          <w:szCs w:val="28"/>
        </w:rPr>
      </w:pPr>
      <w:r w:rsidRPr="008E6D3D">
        <w:rPr>
          <w:rFonts w:ascii="Arial Narrow" w:hAnsi="Arial Narrow" w:cs="Arial"/>
          <w:b/>
          <w:color w:val="000000"/>
          <w:sz w:val="28"/>
          <w:szCs w:val="28"/>
        </w:rPr>
        <w:t>R:</w:t>
      </w:r>
      <w:r>
        <w:rPr>
          <w:rFonts w:ascii="Arial Narrow" w:hAnsi="Arial Narrow" w:cs="Arial"/>
          <w:color w:val="000000"/>
          <w:sz w:val="28"/>
          <w:szCs w:val="28"/>
        </w:rPr>
        <w:t xml:space="preserve"> </w:t>
      </w:r>
      <w:r w:rsidR="00E81FF2" w:rsidRPr="00E81FF2">
        <w:rPr>
          <w:rFonts w:ascii="Arial Narrow" w:hAnsi="Arial Narrow" w:cs="Arial"/>
          <w:color w:val="000000"/>
          <w:sz w:val="28"/>
          <w:szCs w:val="28"/>
        </w:rPr>
        <w:t xml:space="preserve">El modelo de Financiación Contingente al Ingreso se encuentra en este momento en fase de reglamentación por parte del Ministerio de Educación de la Ley 1911 aprobada en 2018. </w:t>
      </w:r>
    </w:p>
    <w:p w14:paraId="250157DC" w14:textId="77777777" w:rsidR="00E81FF2" w:rsidRDefault="00E81FF2" w:rsidP="00E81FF2">
      <w:pPr>
        <w:pStyle w:val="Prrafodelista"/>
        <w:spacing w:after="0" w:line="240" w:lineRule="auto"/>
        <w:jc w:val="both"/>
        <w:rPr>
          <w:rFonts w:ascii="Arial Narrow" w:hAnsi="Arial Narrow" w:cs="Arial"/>
          <w:color w:val="000000"/>
          <w:sz w:val="28"/>
          <w:szCs w:val="28"/>
        </w:rPr>
      </w:pPr>
    </w:p>
    <w:p w14:paraId="3F946079" w14:textId="77777777" w:rsidR="00E81FF2" w:rsidRPr="00E81FF2" w:rsidRDefault="00E81FF2" w:rsidP="00E81FF2">
      <w:pPr>
        <w:pStyle w:val="Prrafodelista"/>
        <w:spacing w:after="0" w:line="240" w:lineRule="auto"/>
        <w:jc w:val="both"/>
        <w:rPr>
          <w:rFonts w:ascii="Arial Narrow" w:hAnsi="Arial Narrow" w:cs="Arial"/>
          <w:color w:val="000000"/>
          <w:sz w:val="28"/>
          <w:szCs w:val="28"/>
        </w:rPr>
      </w:pPr>
      <w:r w:rsidRPr="00E81FF2">
        <w:rPr>
          <w:rFonts w:ascii="Arial Narrow" w:hAnsi="Arial Narrow" w:cs="Arial"/>
          <w:color w:val="000000"/>
          <w:sz w:val="28"/>
          <w:szCs w:val="28"/>
        </w:rPr>
        <w:t xml:space="preserve">Por otro lado, dentro de los compromisos establecidos en la mesa de trabajo orientada a la reforma integral de ICETEX, </w:t>
      </w:r>
      <w:r>
        <w:rPr>
          <w:rFonts w:ascii="Arial Narrow" w:hAnsi="Arial Narrow" w:cs="Arial"/>
          <w:color w:val="000000"/>
          <w:sz w:val="28"/>
          <w:szCs w:val="28"/>
        </w:rPr>
        <w:t xml:space="preserve">el tema de la implementación de FCI hace parte de los temas por definir ya que requiere del análisis </w:t>
      </w:r>
      <w:r w:rsidRPr="00E81FF2">
        <w:rPr>
          <w:rFonts w:ascii="Arial Narrow" w:hAnsi="Arial Narrow" w:cs="Arial"/>
          <w:color w:val="000000"/>
          <w:sz w:val="28"/>
          <w:szCs w:val="28"/>
        </w:rPr>
        <w:t>par parte de los actores involu</w:t>
      </w:r>
      <w:r>
        <w:rPr>
          <w:rFonts w:ascii="Arial Narrow" w:hAnsi="Arial Narrow" w:cs="Arial"/>
          <w:color w:val="000000"/>
          <w:sz w:val="28"/>
          <w:szCs w:val="28"/>
        </w:rPr>
        <w:t>c</w:t>
      </w:r>
      <w:r w:rsidRPr="00E81FF2">
        <w:rPr>
          <w:rFonts w:ascii="Arial Narrow" w:hAnsi="Arial Narrow" w:cs="Arial"/>
          <w:color w:val="000000"/>
          <w:sz w:val="28"/>
          <w:szCs w:val="28"/>
        </w:rPr>
        <w:t xml:space="preserve">rados en esta instancia de diálogo participativo y constructivo. </w:t>
      </w:r>
    </w:p>
    <w:p w14:paraId="3A45DBB9" w14:textId="77777777" w:rsidR="00E81FF2" w:rsidRPr="00E81FF2" w:rsidRDefault="00E81FF2" w:rsidP="00E81FF2">
      <w:pPr>
        <w:rPr>
          <w:rFonts w:ascii="Arial Narrow" w:hAnsi="Arial Narrow"/>
          <w:sz w:val="28"/>
          <w:szCs w:val="28"/>
        </w:rPr>
      </w:pPr>
    </w:p>
    <w:p w14:paraId="250B12EA" w14:textId="77777777" w:rsidR="00E81FF2" w:rsidRPr="00E81FF2" w:rsidRDefault="00E81FF2" w:rsidP="00E81FF2">
      <w:pPr>
        <w:rPr>
          <w:rFonts w:ascii="Arial Narrow" w:hAnsi="Arial Narrow"/>
          <w:sz w:val="28"/>
          <w:szCs w:val="28"/>
        </w:rPr>
      </w:pPr>
    </w:p>
    <w:p w14:paraId="34E15228" w14:textId="77777777" w:rsidR="00E81FF2" w:rsidRDefault="00E81FF2" w:rsidP="00F863E6"/>
    <w:p w14:paraId="43199662" w14:textId="77777777" w:rsidR="00E81FF2" w:rsidRDefault="00E81FF2" w:rsidP="00F863E6"/>
    <w:p w14:paraId="47AAFCE0" w14:textId="77777777" w:rsidR="00E03176" w:rsidRDefault="00E03176" w:rsidP="00F863E6"/>
    <w:sectPr w:rsidR="00E03176" w:rsidSect="00802C4A">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043AB" w14:textId="77777777" w:rsidR="00DB0860" w:rsidRDefault="00DB0860" w:rsidP="00F863E6">
      <w:pPr>
        <w:spacing w:after="0" w:line="240" w:lineRule="auto"/>
      </w:pPr>
      <w:r>
        <w:separator/>
      </w:r>
    </w:p>
  </w:endnote>
  <w:endnote w:type="continuationSeparator" w:id="0">
    <w:p w14:paraId="3F882730" w14:textId="77777777" w:rsidR="00DB0860" w:rsidRDefault="00DB0860" w:rsidP="00F8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766F" w14:textId="77777777" w:rsidR="00802C4A" w:rsidRDefault="00802C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93A9" w14:textId="51267673" w:rsidR="008E4EE3" w:rsidRDefault="008E4EE3">
    <w:pPr>
      <w:pStyle w:val="Piedepgina"/>
    </w:pPr>
    <w:r>
      <w:rPr>
        <w:noProof/>
      </w:rPr>
      <w:drawing>
        <wp:anchor distT="0" distB="0" distL="114300" distR="114300" simplePos="0" relativeHeight="251661312" behindDoc="0" locked="0" layoutInCell="1" allowOverlap="1" wp14:anchorId="4B9AED06" wp14:editId="3AA30A83">
          <wp:simplePos x="0" y="0"/>
          <wp:positionH relativeFrom="page">
            <wp:posOffset>331470</wp:posOffset>
          </wp:positionH>
          <wp:positionV relativeFrom="paragraph">
            <wp:posOffset>-231486</wp:posOffset>
          </wp:positionV>
          <wp:extent cx="7307249" cy="874498"/>
          <wp:effectExtent l="0" t="0" r="8255"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7249" cy="87449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8177" w14:textId="77777777" w:rsidR="00802C4A" w:rsidRDefault="00802C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25D0" w14:textId="77777777" w:rsidR="00DB0860" w:rsidRDefault="00DB0860" w:rsidP="00F863E6">
      <w:pPr>
        <w:spacing w:after="0" w:line="240" w:lineRule="auto"/>
      </w:pPr>
      <w:r>
        <w:separator/>
      </w:r>
    </w:p>
  </w:footnote>
  <w:footnote w:type="continuationSeparator" w:id="0">
    <w:p w14:paraId="55016070" w14:textId="77777777" w:rsidR="00DB0860" w:rsidRDefault="00DB0860" w:rsidP="00F8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291C" w14:textId="77777777" w:rsidR="00802C4A" w:rsidRDefault="00802C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4356" w14:textId="0A7054A4" w:rsidR="008E4EE3" w:rsidRDefault="008E4EE3">
    <w:pPr>
      <w:pStyle w:val="Encabezado"/>
    </w:pPr>
    <w:r>
      <w:rPr>
        <w:noProof/>
      </w:rPr>
      <w:drawing>
        <wp:anchor distT="0" distB="0" distL="114300" distR="114300" simplePos="0" relativeHeight="251659264" behindDoc="0" locked="0" layoutInCell="1" allowOverlap="1" wp14:anchorId="0AFF3F87" wp14:editId="51DBBC19">
          <wp:simplePos x="0" y="0"/>
          <wp:positionH relativeFrom="column">
            <wp:posOffset>0</wp:posOffset>
          </wp:positionH>
          <wp:positionV relativeFrom="paragraph">
            <wp:posOffset>-250017</wp:posOffset>
          </wp:positionV>
          <wp:extent cx="2003728" cy="52514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64221"/>
                  <a:stretch/>
                </pic:blipFill>
                <pic:spPr bwMode="auto">
                  <a:xfrm>
                    <a:off x="0" y="0"/>
                    <a:ext cx="2003728"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ECFE" w14:textId="77777777" w:rsidR="00802C4A" w:rsidRDefault="00802C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71CA"/>
    <w:multiLevelType w:val="hybridMultilevel"/>
    <w:tmpl w:val="D416E282"/>
    <w:lvl w:ilvl="0" w:tplc="0870F5DE">
      <w:start w:val="2"/>
      <w:numFmt w:val="bullet"/>
      <w:lvlText w:val="-"/>
      <w:lvlJc w:val="left"/>
      <w:pPr>
        <w:ind w:left="1080" w:hanging="360"/>
      </w:pPr>
      <w:rPr>
        <w:rFonts w:ascii="Arial Narrow" w:eastAsia="Calibri" w:hAnsi="Arial Narrow" w:cs="Times New Roman"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66824D5"/>
    <w:multiLevelType w:val="hybridMultilevel"/>
    <w:tmpl w:val="364692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9011B2"/>
    <w:multiLevelType w:val="hybridMultilevel"/>
    <w:tmpl w:val="42F05BBE"/>
    <w:lvl w:ilvl="0" w:tplc="467207A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8C657C"/>
    <w:multiLevelType w:val="hybridMultilevel"/>
    <w:tmpl w:val="00620698"/>
    <w:lvl w:ilvl="0" w:tplc="0058994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E6"/>
    <w:rsid w:val="00041FAD"/>
    <w:rsid w:val="003F595B"/>
    <w:rsid w:val="004F5795"/>
    <w:rsid w:val="00581ECE"/>
    <w:rsid w:val="00637514"/>
    <w:rsid w:val="00802C4A"/>
    <w:rsid w:val="008E4EE3"/>
    <w:rsid w:val="008E6D3D"/>
    <w:rsid w:val="009D28EA"/>
    <w:rsid w:val="00B53295"/>
    <w:rsid w:val="00CE7544"/>
    <w:rsid w:val="00DA6931"/>
    <w:rsid w:val="00DB0860"/>
    <w:rsid w:val="00DD3B00"/>
    <w:rsid w:val="00E03176"/>
    <w:rsid w:val="00E81FF2"/>
    <w:rsid w:val="00F86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CB600"/>
  <w15:chartTrackingRefBased/>
  <w15:docId w15:val="{C0F5963C-26E9-470D-881D-9F1DAD6F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
    <w:basedOn w:val="Normal"/>
    <w:link w:val="PrrafodelistaCar"/>
    <w:uiPriority w:val="34"/>
    <w:qFormat/>
    <w:rsid w:val="00F863E6"/>
    <w:pPr>
      <w:ind w:left="720"/>
      <w:contextualSpacing/>
    </w:pPr>
  </w:style>
  <w:style w:type="paragraph" w:styleId="Encabezado">
    <w:name w:val="header"/>
    <w:basedOn w:val="Normal"/>
    <w:link w:val="EncabezadoCar"/>
    <w:uiPriority w:val="99"/>
    <w:unhideWhenUsed/>
    <w:rsid w:val="00F863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63E6"/>
  </w:style>
  <w:style w:type="paragraph" w:styleId="Piedepgina">
    <w:name w:val="footer"/>
    <w:basedOn w:val="Normal"/>
    <w:link w:val="PiedepginaCar"/>
    <w:uiPriority w:val="99"/>
    <w:unhideWhenUsed/>
    <w:rsid w:val="00F863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63E6"/>
  </w:style>
  <w:style w:type="paragraph" w:styleId="Sinespaciado">
    <w:name w:val="No Spacing"/>
    <w:basedOn w:val="Normal"/>
    <w:uiPriority w:val="1"/>
    <w:qFormat/>
    <w:rsid w:val="00B53295"/>
    <w:pPr>
      <w:spacing w:after="0" w:line="240" w:lineRule="auto"/>
    </w:pPr>
    <w:rPr>
      <w:rFonts w:ascii="Times New Roman" w:eastAsia="Calibri" w:hAnsi="Times New Roman" w:cs="Times New Roman"/>
      <w:sz w:val="24"/>
      <w:szCs w:val="24"/>
      <w:lang w:eastAsia="es-CO"/>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DA6931"/>
  </w:style>
  <w:style w:type="character" w:styleId="Hipervnculo">
    <w:name w:val="Hyperlink"/>
    <w:basedOn w:val="Fuentedeprrafopredeter"/>
    <w:uiPriority w:val="99"/>
    <w:unhideWhenUsed/>
    <w:rsid w:val="00DA6931"/>
    <w:rPr>
      <w:color w:val="0563C1" w:themeColor="hyperlink"/>
      <w:u w:val="single"/>
    </w:rPr>
  </w:style>
  <w:style w:type="character" w:styleId="Mencinsinresolver">
    <w:name w:val="Unresolved Mention"/>
    <w:basedOn w:val="Fuentedeprrafopredeter"/>
    <w:uiPriority w:val="99"/>
    <w:semiHidden/>
    <w:unhideWhenUsed/>
    <w:rsid w:val="00DA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icetex.gov.co"/>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Relationships xmlns="http://schemas.openxmlformats.org/package/2006/relationships">
  <Relationship Id="rId1"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757</Words>
  <Characters>4169</Characters>
  <Application>Developed by MetaClean (www.adarsus.com) -Trial License-</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2019-05-29T13:52:13Z</dcterms:created>
  <dcterms:modified xsi:type="dcterms:W3CDTF">2019-05-29T13:52:13Z</dcterms:modified>
  <revision>0</revision>
</coreProperties>
</file>