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CAF34" w14:textId="77777777" w:rsidR="00F9616B" w:rsidRDefault="00FF721C">
      <w:pPr>
        <w:spacing w:after="0" w:line="276" w:lineRule="auto"/>
        <w:jc w:val="center"/>
      </w:pPr>
      <w:r>
        <w:rPr>
          <w:rFonts w:ascii="Arial" w:hAnsi="Arial" w:cs="Arial"/>
          <w:b/>
          <w:bCs/>
        </w:rPr>
        <w:t>EL PRESIDENTE DEL INSTITUTO COLOMBIANO DE CRÉDITO EDUCATIVO Y ESTUDIOS TÉCNICOS EN EL EXTERIOR</w:t>
      </w:r>
    </w:p>
    <w:p w14:paraId="23AA272C" w14:textId="77777777" w:rsidR="00F9616B" w:rsidRDefault="00FF721C">
      <w:pPr>
        <w:spacing w:after="0" w:line="276" w:lineRule="auto"/>
        <w:jc w:val="center"/>
      </w:pPr>
      <w:r>
        <w:rPr>
          <w:rFonts w:ascii="Arial" w:hAnsi="Arial" w:cs="Arial"/>
          <w:b/>
          <w:bCs/>
        </w:rPr>
        <w:t>“MARIANO OSPINA PÉREZ” – ICETEX</w:t>
      </w:r>
    </w:p>
    <w:p w14:paraId="5FC8A73A" w14:textId="77777777" w:rsidR="00F1515D" w:rsidRPr="006F63A6" w:rsidRDefault="00F1515D" w:rsidP="00F1515D">
      <w:pPr>
        <w:ind w:left="71"/>
        <w:jc w:val="center"/>
        <w:rPr>
          <w:rFonts w:ascii="Arial" w:hAnsi="Arial" w:cs="Arial"/>
          <w:i/>
        </w:rPr>
      </w:pPr>
    </w:p>
    <w:p w14:paraId="479ABD8F" w14:textId="77777777" w:rsidR="00531697" w:rsidRDefault="00124D43">
      <w:pPr>
        <w:spacing w:line="276" w:lineRule="auto"/>
        <w:jc w:val="both"/>
      </w:pPr>
      <w:r>
        <w:rPr>
          <w:rFonts w:ascii="Arial" w:hAnsi="Arial" w:cs="Arial"/>
        </w:rPr>
        <w:t xml:space="preserve">En ejercicio de sus facultades constitucionales, legales y estatutarias, en especial las conferidas por los artículos 209 y 211 de la Constitución Política, los artículos 9, 10, 11 y 12 de la Ley 489 de 1998, el artículo 7 de la Ley 1002 de 2005, el artículo 2 del Decreto 380 de 2007, los numerales 2, 6, 15 y 21 del artículo 37 del Acuerdo 013 de 2022, y los artículos 1 y 25 del Acuerdo No. </w:t>
      </w:r>
      <w:r w:rsidRPr="00C42D54">
        <w:rPr>
          <w:rFonts w:ascii="Arial" w:hAnsi="Arial" w:cs="Arial"/>
          <w:highlight w:val="yellow"/>
        </w:rPr>
        <w:t>[___]</w:t>
      </w:r>
      <w:r>
        <w:rPr>
          <w:rFonts w:ascii="Arial" w:hAnsi="Arial" w:cs="Arial"/>
        </w:rPr>
        <w:t xml:space="preserve"> del 26 de octubre de 2026 de la Junta Directiva, y</w:t>
      </w:r>
    </w:p>
    <w:p w14:paraId="3A0D36CC" w14:textId="77777777" w:rsidR="00F1515D" w:rsidRPr="00B537E9" w:rsidRDefault="00F1515D" w:rsidP="00F1515D">
      <w:pPr>
        <w:jc w:val="center"/>
      </w:pPr>
      <w:r>
        <w:rPr>
          <w:rFonts w:ascii="Arial" w:eastAsia="MS Gothic" w:hAnsi="Arial" w:cs="Arial"/>
          <w:b/>
          <w:i/>
          <w:caps/>
          <w:kern w:val="0"/>
          <w14:ligatures w14:val="none"/>
        </w:rPr>
        <w:t>CONSIDERANDO:</w:t>
      </w:r>
    </w:p>
    <w:p w14:paraId="0A5AF3DD" w14:textId="77777777" w:rsidR="00F9616B" w:rsidRDefault="00FF721C">
      <w:pPr>
        <w:spacing w:line="276" w:lineRule="auto"/>
        <w:jc w:val="both"/>
      </w:pPr>
      <w:r>
        <w:rPr>
          <w:rFonts w:ascii="Arial" w:hAnsi="Arial" w:cs="Arial"/>
        </w:rPr>
        <w:t>Que el artículo 209 de la Constitución Política dispone que 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w:t>
      </w:r>
    </w:p>
    <w:p w14:paraId="21FA1895" w14:textId="77777777" w:rsidR="00F9616B" w:rsidRDefault="00FF721C">
      <w:pPr>
        <w:spacing w:line="276" w:lineRule="auto"/>
        <w:jc w:val="both"/>
      </w:pPr>
      <w:r>
        <w:rPr>
          <w:rFonts w:ascii="Arial" w:hAnsi="Arial" w:cs="Arial"/>
        </w:rPr>
        <w:t>Que el artículo 211 de la Constitución Política defiere a la ley la fijación de las condiciones para que las autoridades administrativas deleguen en sus subalternos o en otras autoridades, y precisa que la delegación exime al delegante de la responsabilidad por los actos o resoluciones del delegatario, cuya responsabilidad le corresponde a este, sin perjuicio de que el delegante pueda en todo momento reformarlos o revocarlos, reasumiendo la responsabilidad consiguiente.</w:t>
      </w:r>
    </w:p>
    <w:p w14:paraId="128DBDF6" w14:textId="77777777" w:rsidR="00F9616B" w:rsidRDefault="00FF721C">
      <w:pPr>
        <w:spacing w:line="276" w:lineRule="auto"/>
        <w:jc w:val="both"/>
      </w:pPr>
      <w:r>
        <w:rPr>
          <w:rFonts w:ascii="Arial" w:hAnsi="Arial" w:cs="Arial"/>
        </w:rPr>
        <w:t>Que el artículo 9 de la Ley 489 de 1998 faculta a las autoridades administrativas para que, mediante acto de delegación, transfieran el ejercicio de las funciones a ellas confiadas a los empleados públicos de los niveles directivo y asesor vinculados al organismo correspondiente, con el propósito de dar desarrollo a los principios de la función administrativa, y su parágrafo autoriza a los representantes legales de las entidades descentralizadas para delegar las funciones a ellas asignadas, de conformidad con los criterios de esa ley y con los requisitos y condiciones que prevean los estatutos respectivos.</w:t>
      </w:r>
    </w:p>
    <w:p w14:paraId="62BD31D3" w14:textId="77777777" w:rsidR="00F9616B" w:rsidRDefault="00FF721C">
      <w:pPr>
        <w:spacing w:line="276" w:lineRule="auto"/>
        <w:jc w:val="both"/>
      </w:pPr>
      <w:r>
        <w:rPr>
          <w:rFonts w:ascii="Arial" w:hAnsi="Arial" w:cs="Arial"/>
        </w:rPr>
        <w:t>Que el artículo 10 de la Ley 489 de 1998 exige que el acto de delegación conste siempre por escrito y determine la autoridad delegataria y las funciones o asuntos específicos cuya atención y decisión se transfieren; el artículo 11 de la misma ley señala las funciones que no son susceptibles de delegación, y el artículo 12 dispone que los actos expedidos por el delegatario están sometidos a los mismos requisitos establecidos para su expedición por la autoridad delegante, y que esta puede en cualquier tiempo reasumir la competencia y revisar los actos expedidos por el delegatario.</w:t>
      </w:r>
    </w:p>
    <w:p w14:paraId="0F2D52FB" w14:textId="654207A5" w:rsidR="00F9616B" w:rsidRDefault="00FF721C">
      <w:pPr>
        <w:spacing w:line="276" w:lineRule="auto"/>
        <w:jc w:val="both"/>
      </w:pPr>
      <w:r>
        <w:rPr>
          <w:rFonts w:ascii="Arial" w:hAnsi="Arial" w:cs="Arial"/>
        </w:rPr>
        <w:t xml:space="preserve">Que </w:t>
      </w:r>
      <w:proofErr w:type="gramStart"/>
      <w:r w:rsidR="00B974DB">
        <w:rPr>
          <w:rFonts w:ascii="Arial" w:hAnsi="Arial" w:cs="Arial"/>
        </w:rPr>
        <w:t>el</w:t>
      </w:r>
      <w:r w:rsidR="00A92AAD">
        <w:rPr>
          <w:rFonts w:ascii="Arial" w:hAnsi="Arial" w:cs="Arial"/>
        </w:rPr>
        <w:t xml:space="preserve"> delegante conserva</w:t>
      </w:r>
      <w:proofErr w:type="gramEnd"/>
      <w:r>
        <w:rPr>
          <w:rFonts w:ascii="Arial" w:hAnsi="Arial" w:cs="Arial"/>
        </w:rPr>
        <w:t>, respecto de las funciones delegadas, los deberes de dirección, instrucción, orientación, vigilancia y control sobre el ejercicio de la delegación, conforme a la jurisprudencia de la Corte Constitucional sobre el artículo 211 superior.</w:t>
      </w:r>
    </w:p>
    <w:p w14:paraId="58D52D2A" w14:textId="77777777" w:rsidR="00F9616B" w:rsidRDefault="00FF721C">
      <w:pPr>
        <w:spacing w:line="276" w:lineRule="auto"/>
        <w:jc w:val="both"/>
      </w:pPr>
      <w:r>
        <w:rPr>
          <w:rFonts w:ascii="Arial" w:hAnsi="Arial" w:cs="Arial"/>
        </w:rPr>
        <w:t>Que la Ley 1002 de 2005, en su artículo 1, transformó el Instituto Colombiano de Crédito Educativo y Estudios Técnicos en el Exterior “Mariano Ospina Pérez” – ICETEX en una entidad financiera de naturaleza especial, con personería jurídica, autonomía administrativa y patrimonio propio, y, de conformidad con el numeral 6 de su artículo 9, las donaciones que reciba constituyen fuente de sus recursos, lo cual reitera el numeral 6 del artículo 43 del Acuerdo 013 de 2022.</w:t>
      </w:r>
    </w:p>
    <w:p w14:paraId="05329720" w14:textId="77777777" w:rsidR="00F9616B" w:rsidRDefault="00FF721C">
      <w:pPr>
        <w:spacing w:line="276" w:lineRule="auto"/>
        <w:jc w:val="both"/>
      </w:pPr>
      <w:r>
        <w:rPr>
          <w:rFonts w:ascii="Arial" w:hAnsi="Arial" w:cs="Arial"/>
        </w:rPr>
        <w:lastRenderedPageBreak/>
        <w:t>Que el artículo 36 del Acuerdo 013 de 2022, por el cual se adoptan los Estatutos del ICETEX, asigna la representación legal de la Entidad a su Presidente, y el artículo 37 le atribuye, entre otras, las funciones de ejercer la representación legal (numeral 2); suscribir como representante legal los actos y contratos necesarios para el cumplimiento de los objetivos y funciones asignadas a la Entidad (numeral 6); delegar en los funcionarios del ICETEX el ejercicio de las funciones de su competencia, con observancia de las disposiciones constitucionales y legales vigentes (numeral 15), y celebrar los contratos y expedir los actos que sean necesarios para el cumplimiento de los objetivos y funciones del ICETEX (numeral 21).</w:t>
      </w:r>
    </w:p>
    <w:p w14:paraId="1666FECD" w14:textId="1EF1EB8E" w:rsidR="00531697" w:rsidRDefault="00124D43">
      <w:pPr>
        <w:spacing w:line="276" w:lineRule="auto"/>
        <w:jc w:val="both"/>
      </w:pPr>
      <w:r>
        <w:rPr>
          <w:rFonts w:ascii="Arial" w:hAnsi="Arial" w:cs="Arial"/>
        </w:rPr>
        <w:t xml:space="preserve">Que mediante la Resolución 0290 del 06 de junio de 2025, </w:t>
      </w:r>
      <w:r w:rsidR="004F7E26">
        <w:rPr>
          <w:rFonts w:ascii="Arial" w:hAnsi="Arial" w:cs="Arial"/>
        </w:rPr>
        <w:t>“</w:t>
      </w:r>
      <w:r>
        <w:rPr>
          <w:rFonts w:ascii="Arial" w:hAnsi="Arial" w:cs="Arial"/>
        </w:rPr>
        <w:t>Por medio de la cual se delegan unas funciones y se dictan otras disposiciones</w:t>
      </w:r>
      <w:r w:rsidR="004F7E26">
        <w:rPr>
          <w:rFonts w:ascii="Arial" w:hAnsi="Arial" w:cs="Arial"/>
        </w:rPr>
        <w:t>”</w:t>
      </w:r>
      <w:r>
        <w:rPr>
          <w:rFonts w:ascii="Arial" w:hAnsi="Arial" w:cs="Arial"/>
        </w:rPr>
        <w:t>, el Presidente del ICETEX reunió en un solo acto administrativo las delegaciones de funciones conferidas a los servidores públicos de los niveles directivo y asesor de la Entidad, y en su artículo 3 delegó en el Vicepresidente Financiero, entre otras, las funciones de actuar como ordenador del gasto y suscribir los actos, acuerdos, contratos, convenios y demás acuerdos de voluntades relacionados con las operaciones financieras del ICETEX (numeral 5) y de administrar los recursos financieros de la Entidad (numeral 8).</w:t>
      </w:r>
    </w:p>
    <w:p w14:paraId="0849CEE0" w14:textId="1866E9B1" w:rsidR="00531697" w:rsidRDefault="00124D43">
      <w:pPr>
        <w:spacing w:line="276" w:lineRule="auto"/>
        <w:jc w:val="both"/>
      </w:pPr>
      <w:r>
        <w:rPr>
          <w:rFonts w:ascii="Arial" w:hAnsi="Arial" w:cs="Arial"/>
        </w:rPr>
        <w:t xml:space="preserve">Que la Resolución 0290 de 2025 fue modificada por la Resolución 0531 del 29 de julio de 2026, </w:t>
      </w:r>
      <w:r w:rsidR="009B1670">
        <w:rPr>
          <w:rFonts w:ascii="Arial" w:hAnsi="Arial" w:cs="Arial"/>
        </w:rPr>
        <w:t>“</w:t>
      </w:r>
      <w:r>
        <w:rPr>
          <w:rFonts w:ascii="Arial" w:hAnsi="Arial" w:cs="Arial"/>
        </w:rPr>
        <w:t>Por la cual se modifica el artículo 8 de la Resolución 0290 del 06 de junio de 2025</w:t>
      </w:r>
      <w:r w:rsidR="009B1670">
        <w:rPr>
          <w:rFonts w:ascii="Arial" w:hAnsi="Arial" w:cs="Arial"/>
        </w:rPr>
        <w:t>”</w:t>
      </w:r>
      <w:r>
        <w:rPr>
          <w:rFonts w:ascii="Arial" w:hAnsi="Arial" w:cs="Arial"/>
        </w:rPr>
        <w:t xml:space="preserve">, exclusivamente en lo relativo a las funciones delegadas en el </w:t>
      </w:r>
      <w:proofErr w:type="gramStart"/>
      <w:r>
        <w:rPr>
          <w:rFonts w:ascii="Arial" w:hAnsi="Arial" w:cs="Arial"/>
        </w:rPr>
        <w:t>Jefe</w:t>
      </w:r>
      <w:proofErr w:type="gramEnd"/>
      <w:r>
        <w:rPr>
          <w:rFonts w:ascii="Arial" w:hAnsi="Arial" w:cs="Arial"/>
        </w:rPr>
        <w:t xml:space="preserve"> de la Oficina de Relaciones Internacionales, por lo cual el artículo 3 de aquella conserva su redacción original.</w:t>
      </w:r>
    </w:p>
    <w:p w14:paraId="00DC6B90" w14:textId="77777777" w:rsidR="00F9616B" w:rsidRDefault="00FF721C">
      <w:pPr>
        <w:spacing w:line="276" w:lineRule="auto"/>
        <w:jc w:val="both"/>
      </w:pPr>
      <w:r>
        <w:rPr>
          <w:rFonts w:ascii="Arial" w:hAnsi="Arial" w:cs="Arial"/>
        </w:rPr>
        <w:t>Que el numeral 13 del artículo 9 del Acuerdo 013 de 2022 asigna a la Junta Directiva la función de autorizar la aceptación de donaciones, auxilios o legados.</w:t>
      </w:r>
    </w:p>
    <w:p w14:paraId="23172AFC" w14:textId="78C4145E" w:rsidR="00F9616B" w:rsidRDefault="00FF721C">
      <w:pPr>
        <w:spacing w:line="276" w:lineRule="auto"/>
        <w:jc w:val="both"/>
      </w:pPr>
      <w:r>
        <w:rPr>
          <w:rFonts w:ascii="Arial" w:hAnsi="Arial" w:cs="Arial"/>
        </w:rPr>
        <w:t xml:space="preserve">Que la Junta Directiva, mediante el Acuerdo No. </w:t>
      </w:r>
      <w:r w:rsidRPr="00A92AAD">
        <w:rPr>
          <w:rFonts w:ascii="Arial" w:hAnsi="Arial" w:cs="Arial"/>
          <w:highlight w:val="yellow"/>
        </w:rPr>
        <w:t>[___]</w:t>
      </w:r>
      <w:r>
        <w:rPr>
          <w:rFonts w:ascii="Arial" w:hAnsi="Arial" w:cs="Arial"/>
        </w:rPr>
        <w:t xml:space="preserve"> del 26 de octubre de 2026, </w:t>
      </w:r>
      <w:r w:rsidR="009B1670">
        <w:rPr>
          <w:rFonts w:ascii="Arial" w:hAnsi="Arial" w:cs="Arial"/>
        </w:rPr>
        <w:t>“</w:t>
      </w:r>
      <w:r>
        <w:rPr>
          <w:rFonts w:ascii="Arial" w:hAnsi="Arial" w:cs="Arial"/>
        </w:rPr>
        <w:t>Por el cual se adopta la Política de Donaciones del ICETEX, se autoriza la aceptación de donaciones y se dictan otras disposiciones</w:t>
      </w:r>
      <w:r w:rsidR="009B1670">
        <w:rPr>
          <w:rFonts w:ascii="Arial" w:hAnsi="Arial" w:cs="Arial"/>
        </w:rPr>
        <w:t>”</w:t>
      </w:r>
      <w:r>
        <w:rPr>
          <w:rFonts w:ascii="Arial" w:hAnsi="Arial" w:cs="Arial"/>
        </w:rPr>
        <w:t xml:space="preserve">, en su artículo 1 autorizó al </w:t>
      </w:r>
      <w:r w:rsidR="009B1670">
        <w:rPr>
          <w:rFonts w:ascii="Arial" w:hAnsi="Arial" w:cs="Arial"/>
        </w:rPr>
        <w:t>presidente</w:t>
      </w:r>
      <w:r>
        <w:rPr>
          <w:rFonts w:ascii="Arial" w:hAnsi="Arial" w:cs="Arial"/>
        </w:rPr>
        <w:t xml:space="preserve"> del ICETEX, o a su delegado, para aceptar en nombre de la Entidad las donaciones en dinero que cumplan los requisitos y condiciones allí establecidos, sin necesidad de autorización adicional de la Junta Directiva, salvo en los casos de autorización especial previstos en su artículo 2.</w:t>
      </w:r>
    </w:p>
    <w:p w14:paraId="4AD8DDD0" w14:textId="7632AB60" w:rsidR="00F9616B" w:rsidRDefault="00FF721C">
      <w:pPr>
        <w:spacing w:line="276" w:lineRule="auto"/>
        <w:jc w:val="both"/>
      </w:pPr>
      <w:r>
        <w:rPr>
          <w:rFonts w:ascii="Arial" w:hAnsi="Arial" w:cs="Arial"/>
        </w:rPr>
        <w:t xml:space="preserve">Que el artículo 25 del citado Acuerdo dispone que la aceptación de cada donación se formalizará mediante instrumento escrito suscrito por el donante y por el </w:t>
      </w:r>
      <w:r w:rsidR="009B1670">
        <w:rPr>
          <w:rFonts w:ascii="Arial" w:hAnsi="Arial" w:cs="Arial"/>
        </w:rPr>
        <w:t>presidente</w:t>
      </w:r>
      <w:r>
        <w:rPr>
          <w:rFonts w:ascii="Arial" w:hAnsi="Arial" w:cs="Arial"/>
        </w:rPr>
        <w:t xml:space="preserve"> del ICETEX o su delegado, con el contenido mínimo allí previsto; su artículo 8 limita la admisibilidad a las donaciones en dinero, y su artículo 22 exige que la debida diligencia del donante en el marco del SARLAFT concluya antes de la aceptación formal y de la expedición de cualquier certificación con efectos tributarios.</w:t>
      </w:r>
    </w:p>
    <w:p w14:paraId="7CC258DA" w14:textId="44059987" w:rsidR="00F9616B" w:rsidRDefault="00FF721C">
      <w:pPr>
        <w:spacing w:line="276" w:lineRule="auto"/>
        <w:jc w:val="both"/>
      </w:pPr>
      <w:r>
        <w:rPr>
          <w:rFonts w:ascii="Arial" w:hAnsi="Arial" w:cs="Arial"/>
        </w:rPr>
        <w:t xml:space="preserve">Que la delegación que se confiere mediante el presente acto no recae sobre la función de autorización de la Junta Directiva, la cual fue ejercida por ese órgano mediante el Acuerdo antes citado y se conserva en él para los casos de autorización especial, sino sobre la competencia del Presidente, como representante legal, para aceptar las donaciones así autorizadas y suscribir los instrumentos que la formalizan, competencia que el propio Acuerdo de Junta Directiva previó expresamente que podía ejercerse por intermedio de un delegado. </w:t>
      </w:r>
    </w:p>
    <w:p w14:paraId="495724D8" w14:textId="77777777" w:rsidR="00F9616B" w:rsidRDefault="00FF721C">
      <w:pPr>
        <w:spacing w:line="276" w:lineRule="auto"/>
        <w:jc w:val="both"/>
      </w:pPr>
      <w:r>
        <w:rPr>
          <w:rFonts w:ascii="Arial" w:hAnsi="Arial" w:cs="Arial"/>
        </w:rPr>
        <w:lastRenderedPageBreak/>
        <w:t>Que el empleo de Vicepresidente Financiero pertenece al nivel directivo de la planta de personal del ICETEX, y que la dependencia a su cargo interviene directamente en el recaudo, la administración de las cuentas específicas y la incorporación presupuestal de los recursos donados, conforme a los artículos 26 y 27 de la Política de Donaciones, por lo cual radicar en ese empleo la aceptación de las donaciones y la suscripción de los instrumentos que la formalizan contribuye a la eficacia, la economía y la celeridad del procedimiento, en particular frente a la oportunidad que exigen los donantes para acceder al descuento tributario del artículo 257 del Estatuto Tributario dentro del respectivo período gravable.</w:t>
      </w:r>
    </w:p>
    <w:p w14:paraId="12921708" w14:textId="77777777" w:rsidR="00531697" w:rsidRDefault="00124D43">
      <w:pPr>
        <w:spacing w:line="276" w:lineRule="auto"/>
        <w:jc w:val="both"/>
      </w:pPr>
      <w:r>
        <w:rPr>
          <w:rFonts w:ascii="Arial" w:hAnsi="Arial" w:cs="Arial"/>
        </w:rPr>
        <w:t>Que, con el propósito de preservar la unidad y la coherencia del esquema de delegaciones de la Entidad, evitar la dispersión normativa y facilitar su consulta y aplicación, resulta procedente incorporar la delegación para la aceptación de donaciones en el artículo 3 de la Resolución 0290 de 2025, mediante la adición de un numeral y de los parágrafos correspondientes, en lugar de expedir un acto de delegación independiente, en armonía con la Política de Mejora Normativa prevista en el documento CONPES 3816 de 2014, que promueve la racionalización del inventario normativo y que el ICETEX aplica en la expedición de sus actos administrativos de carácter general.</w:t>
      </w:r>
    </w:p>
    <w:p w14:paraId="098A5577" w14:textId="77777777" w:rsidR="00531697" w:rsidRDefault="00124D43">
      <w:pPr>
        <w:spacing w:line="276" w:lineRule="auto"/>
        <w:jc w:val="both"/>
        <w:rPr>
          <w:rFonts w:ascii="Arial" w:hAnsi="Arial" w:cs="Arial"/>
        </w:rPr>
      </w:pPr>
      <w:r>
        <w:rPr>
          <w:rFonts w:ascii="Arial" w:hAnsi="Arial" w:cs="Arial"/>
        </w:rPr>
        <w:t>Que la adición que se efectúa no altera el alcance de las demás funciones delegadas en el artículo 3 de la Resolución 0290 de 2025, y que a la nueva función le resultan aplicables las disposiciones generales del Capítulo III de dicha Resolución, en particular las relativas a la facultad de reasumir las competencias delegadas (artículo 16) y a la presentación de informes por parte del delegatario (artículo 20).</w:t>
      </w:r>
    </w:p>
    <w:p w14:paraId="701D5CEB" w14:textId="2248B852" w:rsidR="009B1670" w:rsidRPr="00FF71E4" w:rsidRDefault="00FF71E4" w:rsidP="00FF71E4">
      <w:pPr>
        <w:spacing w:line="276" w:lineRule="auto"/>
        <w:jc w:val="both"/>
        <w:rPr>
          <w:rFonts w:ascii="Arial" w:hAnsi="Arial" w:cs="Arial"/>
        </w:rPr>
      </w:pPr>
      <w:r w:rsidRPr="00FF71E4">
        <w:rPr>
          <w:rFonts w:ascii="Arial" w:hAnsi="Arial" w:cs="Arial"/>
        </w:rPr>
        <w:t xml:space="preserve">Que, en cumplimiento del numeral 8 del artículo 8 de la Ley 1437 de 2011 y del principio de divulgación proactiva de la información del artículo 3 de la Ley 1712 de 2014, y tomando como referencia las directrices de publicación previa del Decreto 1081 de 2015, sustituido en lo pertinente por el Decreto 385 de 2026, que permiten excepcionalmente un plazo inferior al ordinario cuando la entidad lo justifique y este resulte razonable y ajustado a la necesidad de la regulación, el proyecto de la presente resolución fue publicado para observaciones de la ciudadanía y de los grupos de interés durante un (1) día, el </w:t>
      </w:r>
      <w:r w:rsidRPr="00FF71E4">
        <w:rPr>
          <w:rFonts w:ascii="Arial" w:hAnsi="Arial" w:cs="Arial"/>
          <w:highlight w:val="yellow"/>
        </w:rPr>
        <w:t>[___]</w:t>
      </w:r>
      <w:r w:rsidRPr="00FF71E4">
        <w:rPr>
          <w:rFonts w:ascii="Arial" w:hAnsi="Arial" w:cs="Arial"/>
        </w:rPr>
        <w:t xml:space="preserve"> de </w:t>
      </w:r>
      <w:r>
        <w:rPr>
          <w:rFonts w:ascii="Arial" w:hAnsi="Arial" w:cs="Arial"/>
        </w:rPr>
        <w:t>octubre</w:t>
      </w:r>
      <w:r w:rsidRPr="00FF71E4">
        <w:rPr>
          <w:rFonts w:ascii="Arial" w:hAnsi="Arial" w:cs="Arial"/>
        </w:rPr>
        <w:t xml:space="preserve"> de 2026, en la sección </w:t>
      </w:r>
      <w:r>
        <w:rPr>
          <w:rFonts w:ascii="Arial" w:hAnsi="Arial" w:cs="Arial"/>
        </w:rPr>
        <w:t>“p</w:t>
      </w:r>
      <w:r w:rsidRPr="00FF71E4">
        <w:rPr>
          <w:rFonts w:ascii="Arial" w:hAnsi="Arial" w:cs="Arial"/>
        </w:rPr>
        <w:t>royectos normativos para observaciones ciudadanas</w:t>
      </w:r>
      <w:r>
        <w:rPr>
          <w:rFonts w:ascii="Arial" w:hAnsi="Arial" w:cs="Arial"/>
        </w:rPr>
        <w:t>”</w:t>
      </w:r>
      <w:r w:rsidRPr="00FF71E4">
        <w:rPr>
          <w:rFonts w:ascii="Arial" w:hAnsi="Arial" w:cs="Arial"/>
        </w:rPr>
        <w:t xml:space="preserve"> de la página web del ICETEX. Este término es razonable y proporcional por cuanto: (i) el proyecto se limita a radicar en el </w:t>
      </w:r>
      <w:proofErr w:type="gramStart"/>
      <w:r w:rsidRPr="00FF71E4">
        <w:rPr>
          <w:rFonts w:ascii="Arial" w:hAnsi="Arial" w:cs="Arial"/>
        </w:rPr>
        <w:t>Vicepresidente</w:t>
      </w:r>
      <w:proofErr w:type="gramEnd"/>
      <w:r w:rsidRPr="00FF71E4">
        <w:rPr>
          <w:rFonts w:ascii="Arial" w:hAnsi="Arial" w:cs="Arial"/>
        </w:rPr>
        <w:t xml:space="preserve"> Financiero una competencia propia del </w:t>
      </w:r>
      <w:proofErr w:type="gramStart"/>
      <w:r w:rsidRPr="00FF71E4">
        <w:rPr>
          <w:rFonts w:ascii="Arial" w:hAnsi="Arial" w:cs="Arial"/>
        </w:rPr>
        <w:t>Presidente</w:t>
      </w:r>
      <w:proofErr w:type="gramEnd"/>
      <w:r w:rsidRPr="00FF71E4">
        <w:rPr>
          <w:rFonts w:ascii="Arial" w:hAnsi="Arial" w:cs="Arial"/>
        </w:rPr>
        <w:t xml:space="preserve"> de la Entidad, no impone cargas, obligaciones ni sanciones a los particulares y recae sobre un mecanismo de carácter voluntario, cuyo contenido sustancial, la Política de Donaciones, ya fue sometido a consulta ciudadana entre el 13 y el 20 de octubre de 2026, antes de su adopción por la Junta Directiva mediante el Acuerdo No. </w:t>
      </w:r>
      <w:r w:rsidRPr="00FF71E4">
        <w:rPr>
          <w:rFonts w:ascii="Arial" w:hAnsi="Arial" w:cs="Arial"/>
          <w:highlight w:val="yellow"/>
        </w:rPr>
        <w:t>[___]</w:t>
      </w:r>
      <w:r w:rsidRPr="00FF71E4">
        <w:rPr>
          <w:rFonts w:ascii="Arial" w:hAnsi="Arial" w:cs="Arial"/>
        </w:rPr>
        <w:t xml:space="preserve"> del 26 de octubre de 2026; (</w:t>
      </w:r>
      <w:proofErr w:type="spellStart"/>
      <w:r w:rsidRPr="00FF71E4">
        <w:rPr>
          <w:rFonts w:ascii="Arial" w:hAnsi="Arial" w:cs="Arial"/>
        </w:rPr>
        <w:t>ii</w:t>
      </w:r>
      <w:proofErr w:type="spellEnd"/>
      <w:r w:rsidRPr="00FF71E4">
        <w:rPr>
          <w:rFonts w:ascii="Arial" w:hAnsi="Arial" w:cs="Arial"/>
        </w:rPr>
        <w:t>) la delegación es condición necesaria para formalizar con oportunidad la aceptación de las donaciones a partir de la activación de la iniciativa, prevista para el 29 de octubre de 2026, de modo que los donantes puedan acceder al descuento tributario del artículo 257 del Estatuto Tributario dentro del período gravable 2026, y (</w:t>
      </w:r>
      <w:proofErr w:type="spellStart"/>
      <w:r w:rsidRPr="00FF71E4">
        <w:rPr>
          <w:rFonts w:ascii="Arial" w:hAnsi="Arial" w:cs="Arial"/>
        </w:rPr>
        <w:t>iii</w:t>
      </w:r>
      <w:proofErr w:type="spellEnd"/>
      <w:r w:rsidRPr="00FF71E4">
        <w:rPr>
          <w:rFonts w:ascii="Arial" w:hAnsi="Arial" w:cs="Arial"/>
        </w:rPr>
        <w:t xml:space="preserve">) permite disponer en el menor tiempo posible de una fuente de financiación distinta de los recursos propios del ICETEX para continuar apoyando a los beneficiarios de crédito educativo afectados por el sismo del 10 de agosto de 2026, respecto del cual el Gobierno Nacional declaró la Situación de Desastre de Carácter Nacional mediante el Decreto 1171 del 11 de agosto de </w:t>
      </w:r>
      <w:r w:rsidRPr="00FF71E4">
        <w:rPr>
          <w:rFonts w:ascii="Arial" w:hAnsi="Arial" w:cs="Arial"/>
        </w:rPr>
        <w:lastRenderedPageBreak/>
        <w:t>2026, una vez venza el alivio financiero adoptado mediante el Acuerdo 19 del 27 de agosto de 2026</w:t>
      </w:r>
      <w:r w:rsidRPr="00FF71E4">
        <w:rPr>
          <w:rFonts w:ascii="Arial" w:hAnsi="Arial" w:cs="Arial"/>
          <w:highlight w:val="yellow"/>
        </w:rPr>
        <w:t>. Dentro del término de publicación no se recibieron observaciones</w:t>
      </w:r>
      <w:r w:rsidRPr="00FF71E4">
        <w:rPr>
          <w:rFonts w:ascii="Arial" w:hAnsi="Arial" w:cs="Arial"/>
        </w:rPr>
        <w:t>.</w:t>
      </w:r>
    </w:p>
    <w:p w14:paraId="2F2D45DE" w14:textId="77777777" w:rsidR="00F9616B" w:rsidRDefault="00FF721C">
      <w:pPr>
        <w:spacing w:line="276" w:lineRule="auto"/>
        <w:jc w:val="both"/>
      </w:pPr>
      <w:r>
        <w:rPr>
          <w:rFonts w:ascii="Arial" w:hAnsi="Arial" w:cs="Arial"/>
        </w:rPr>
        <w:t>Que, en mérito de lo expuesto,</w:t>
      </w:r>
    </w:p>
    <w:p w14:paraId="426C5973" w14:textId="77777777" w:rsidR="00F1515D" w:rsidRPr="00797CFF" w:rsidRDefault="00F1515D" w:rsidP="00F1515D">
      <w:pPr>
        <w:jc w:val="center"/>
        <w:rPr>
          <w:i/>
          <w:iCs/>
        </w:rPr>
      </w:pPr>
      <w:r>
        <w:rPr>
          <w:rFonts w:ascii="Arial" w:eastAsia="MS Gothic" w:hAnsi="Arial" w:cs="Arial"/>
          <w:b/>
          <w:iCs/>
          <w:caps/>
          <w:kern w:val="0"/>
          <w14:ligatures w14:val="none"/>
        </w:rPr>
        <w:t>RESUELVE</w:t>
      </w:r>
      <w:r>
        <w:rPr>
          <w:rFonts w:ascii="Arial" w:eastAsia="MS Gothic" w:hAnsi="Arial" w:cs="Arial"/>
          <w:b/>
          <w:i/>
          <w:caps/>
          <w:kern w:val="0"/>
          <w14:ligatures w14:val="none"/>
        </w:rPr>
        <w:t>:</w:t>
      </w:r>
    </w:p>
    <w:p w14:paraId="23277FC8" w14:textId="77777777" w:rsidR="00F9616B" w:rsidRDefault="00F9616B">
      <w:pPr>
        <w:spacing w:after="0" w:line="276" w:lineRule="auto"/>
        <w:jc w:val="both"/>
      </w:pPr>
    </w:p>
    <w:p w14:paraId="1AFD7B9E" w14:textId="77777777" w:rsidR="00531697" w:rsidRDefault="00124D43">
      <w:pPr>
        <w:spacing w:line="276" w:lineRule="auto"/>
        <w:jc w:val="both"/>
      </w:pPr>
      <w:r>
        <w:rPr>
          <w:rFonts w:ascii="Arial" w:hAnsi="Arial" w:cs="Arial"/>
          <w:b/>
        </w:rPr>
        <w:t xml:space="preserve">ARTÍCULO 1º. Adición del artículo 3 de la Resolución 0290 del 06 de junio de 2025. </w:t>
      </w:r>
      <w:r>
        <w:rPr>
          <w:rFonts w:ascii="Arial" w:hAnsi="Arial" w:cs="Arial"/>
        </w:rPr>
        <w:t xml:space="preserve">Adicionar el numeral 15 y un parágrafo al artículo 3 de la Resolución 0290 del 06 de junio de 2025, modificada por la Resolución 0531 del 29 de julio de 2026, mediante el cual se delegan funciones en el </w:t>
      </w:r>
      <w:proofErr w:type="gramStart"/>
      <w:r>
        <w:rPr>
          <w:rFonts w:ascii="Arial" w:hAnsi="Arial" w:cs="Arial"/>
        </w:rPr>
        <w:t>Vicepresidente</w:t>
      </w:r>
      <w:proofErr w:type="gramEnd"/>
      <w:r>
        <w:rPr>
          <w:rFonts w:ascii="Arial" w:hAnsi="Arial" w:cs="Arial"/>
        </w:rPr>
        <w:t xml:space="preserve"> Financiero, los cuales quedarán así:</w:t>
      </w:r>
    </w:p>
    <w:p w14:paraId="097C1785" w14:textId="4929EDBB" w:rsidR="00531697" w:rsidRPr="00C42D54" w:rsidRDefault="00124D43">
      <w:pPr>
        <w:spacing w:line="276" w:lineRule="auto"/>
        <w:ind w:left="567" w:right="567"/>
        <w:jc w:val="both"/>
        <w:rPr>
          <w:iCs/>
        </w:rPr>
      </w:pPr>
      <w:r w:rsidRPr="00C42D54">
        <w:rPr>
          <w:rFonts w:ascii="Arial" w:hAnsi="Arial" w:cs="Arial"/>
          <w:iCs/>
        </w:rPr>
        <w:t xml:space="preserve">“15) Aceptar, en nombre del ICETEX, las donaciones en dinero que cumplan los requisitos y condiciones establecidos en el Acuerdo No. </w:t>
      </w:r>
      <w:r w:rsidRPr="00831D26">
        <w:rPr>
          <w:rFonts w:ascii="Arial" w:hAnsi="Arial" w:cs="Arial"/>
          <w:iCs/>
          <w:highlight w:val="yellow"/>
        </w:rPr>
        <w:t>[___]</w:t>
      </w:r>
      <w:r w:rsidRPr="00C42D54">
        <w:rPr>
          <w:rFonts w:ascii="Arial" w:hAnsi="Arial" w:cs="Arial"/>
          <w:iCs/>
        </w:rPr>
        <w:t xml:space="preserve"> del 26 de octubre de 2026 de la Junta Directiva, por medio del cual se adoptó la Política de Donaciones del ICETEX, o en la disposición que lo modifique o sustituya, y que no requieran autorización especial de la Junta Directiva en los términos del artículo 2 de dicho Acuerdo. Esta delegación comprende las siguientes actividades</w:t>
      </w:r>
      <w:r w:rsidR="00831D26">
        <w:rPr>
          <w:rFonts w:ascii="Arial" w:hAnsi="Arial" w:cs="Arial"/>
          <w:iCs/>
        </w:rPr>
        <w:t xml:space="preserve"> como mínimo y todas aquellas</w:t>
      </w:r>
      <w:r w:rsidRPr="00C42D54">
        <w:rPr>
          <w:rFonts w:ascii="Arial" w:hAnsi="Arial" w:cs="Arial"/>
          <w:iCs/>
        </w:rPr>
        <w:t xml:space="preserve"> inherentes a la aceptación de las donaciones:</w:t>
      </w:r>
    </w:p>
    <w:p w14:paraId="789F08DA" w14:textId="77777777" w:rsidR="00531697" w:rsidRPr="00C42D54" w:rsidRDefault="00124D43">
      <w:pPr>
        <w:spacing w:after="100" w:line="276" w:lineRule="auto"/>
        <w:ind w:left="1134" w:right="567" w:hanging="425"/>
        <w:jc w:val="both"/>
        <w:rPr>
          <w:iCs/>
        </w:rPr>
      </w:pPr>
      <w:r w:rsidRPr="00C42D54">
        <w:rPr>
          <w:rFonts w:ascii="Arial" w:hAnsi="Arial" w:cs="Arial"/>
          <w:iCs/>
        </w:rPr>
        <w:t>a) Suscribir, en nombre y representación del ICETEX, el contrato de donación o el instrumento de aceptación, con el contenido mínimo previsto en el artículo 25 de la Política de Donaciones.</w:t>
      </w:r>
    </w:p>
    <w:p w14:paraId="0823949A" w14:textId="77777777" w:rsidR="00531697" w:rsidRPr="00C42D54" w:rsidRDefault="00124D43">
      <w:pPr>
        <w:spacing w:after="100" w:line="276" w:lineRule="auto"/>
        <w:ind w:left="1134" w:right="567" w:hanging="425"/>
        <w:jc w:val="both"/>
        <w:rPr>
          <w:iCs/>
        </w:rPr>
      </w:pPr>
      <w:r w:rsidRPr="00C42D54">
        <w:rPr>
          <w:rFonts w:ascii="Arial" w:hAnsi="Arial" w:cs="Arial"/>
          <w:iCs/>
        </w:rPr>
        <w:t>b) Comparecer ante notario y suscribir la escritura pública de insinuación de la donación, cuando su valor exceda los cincuenta (50) salarios mínimos legales mensuales vigentes, así como la escritura pública y/o el instrumento de aceptación.</w:t>
      </w:r>
    </w:p>
    <w:p w14:paraId="58087FBB" w14:textId="77777777" w:rsidR="00531697" w:rsidRPr="00C42D54" w:rsidRDefault="00124D43">
      <w:pPr>
        <w:spacing w:after="100" w:line="276" w:lineRule="auto"/>
        <w:ind w:left="1134" w:right="567" w:hanging="425"/>
        <w:jc w:val="both"/>
        <w:rPr>
          <w:iCs/>
        </w:rPr>
      </w:pPr>
      <w:r w:rsidRPr="00C42D54">
        <w:rPr>
          <w:rFonts w:ascii="Arial" w:hAnsi="Arial" w:cs="Arial"/>
          <w:iCs/>
        </w:rPr>
        <w:t>c) Suscribir las modificaciones, aclaraciones u otrosíes a los contratos de donación e instrumentos de aceptación, siempre que no alteren el carácter gratuito e irrevocable de la donación ni la destinación aceptada sin la autorización previa y expresa del donante, y que no impongan al ICETEX obligaciones, cargas o gastos no cubiertos por la donación.</w:t>
      </w:r>
    </w:p>
    <w:p w14:paraId="59191414" w14:textId="77777777" w:rsidR="00531697" w:rsidRPr="00C42D54" w:rsidRDefault="00124D43">
      <w:pPr>
        <w:spacing w:after="100" w:line="276" w:lineRule="auto"/>
        <w:ind w:left="1134" w:right="567" w:hanging="425"/>
        <w:jc w:val="both"/>
        <w:rPr>
          <w:iCs/>
        </w:rPr>
      </w:pPr>
      <w:r w:rsidRPr="00C42D54">
        <w:rPr>
          <w:rFonts w:ascii="Arial" w:hAnsi="Arial" w:cs="Arial"/>
          <w:iCs/>
        </w:rPr>
        <w:t>d) Las demás actividades inherentes, conexas o necesarias para el perfeccionamiento de la aceptación de las donaciones, dentro del marco de la Política de Donaciones.</w:t>
      </w:r>
    </w:p>
    <w:p w14:paraId="322439BA" w14:textId="77777777" w:rsidR="00531697" w:rsidRPr="00C42D54" w:rsidRDefault="00124D43">
      <w:pPr>
        <w:spacing w:line="276" w:lineRule="auto"/>
        <w:ind w:left="567" w:right="567"/>
        <w:jc w:val="both"/>
        <w:rPr>
          <w:iCs/>
        </w:rPr>
      </w:pPr>
      <w:r w:rsidRPr="00C42D54">
        <w:rPr>
          <w:rFonts w:ascii="Arial" w:hAnsi="Arial" w:cs="Arial"/>
          <w:b/>
          <w:iCs/>
        </w:rPr>
        <w:t xml:space="preserve">Parágrafo. </w:t>
      </w:r>
      <w:r w:rsidRPr="00C42D54">
        <w:rPr>
          <w:rFonts w:ascii="Arial" w:hAnsi="Arial" w:cs="Arial"/>
          <w:iCs/>
        </w:rPr>
        <w:t xml:space="preserve">El </w:t>
      </w:r>
      <w:proofErr w:type="gramStart"/>
      <w:r w:rsidRPr="00C42D54">
        <w:rPr>
          <w:rFonts w:ascii="Arial" w:hAnsi="Arial" w:cs="Arial"/>
          <w:iCs/>
        </w:rPr>
        <w:t>Vicepresidente</w:t>
      </w:r>
      <w:proofErr w:type="gramEnd"/>
      <w:r w:rsidRPr="00C42D54">
        <w:rPr>
          <w:rFonts w:ascii="Arial" w:hAnsi="Arial" w:cs="Arial"/>
          <w:iCs/>
        </w:rPr>
        <w:t xml:space="preserve"> Financiero ejercerá la función delegada en el numeral 15 del presente artículo con sujeción a la Constitución Política, la ley, los Estatutos del ICETEX, la Política de Donaciones, el Manual de Contratación de la Entidad y los principios de la función administrativa y de la gestión fiscal. En particular:</w:t>
      </w:r>
    </w:p>
    <w:p w14:paraId="32C77514" w14:textId="77777777" w:rsidR="00531697" w:rsidRPr="00C42D54" w:rsidRDefault="00124D43">
      <w:pPr>
        <w:spacing w:after="100" w:line="276" w:lineRule="auto"/>
        <w:ind w:left="1134" w:right="567" w:hanging="425"/>
        <w:jc w:val="both"/>
        <w:rPr>
          <w:iCs/>
        </w:rPr>
      </w:pPr>
      <w:r w:rsidRPr="00C42D54">
        <w:rPr>
          <w:rFonts w:ascii="Arial" w:hAnsi="Arial" w:cs="Arial"/>
          <w:iCs/>
        </w:rPr>
        <w:t>a) Se abstendrá de aceptar donaciones o de suscribir los instrumentos de aceptación antes de que concluya satisfactoriamente la debida diligencia de que trata el artículo 22 de la Política de Donaciones.</w:t>
      </w:r>
    </w:p>
    <w:p w14:paraId="28E3584F" w14:textId="77777777" w:rsidR="00531697" w:rsidRPr="00C42D54" w:rsidRDefault="00124D43">
      <w:pPr>
        <w:spacing w:after="100" w:line="276" w:lineRule="auto"/>
        <w:ind w:left="1134" w:right="567" w:hanging="425"/>
        <w:jc w:val="both"/>
        <w:rPr>
          <w:iCs/>
        </w:rPr>
      </w:pPr>
      <w:r w:rsidRPr="00C42D54">
        <w:rPr>
          <w:rFonts w:ascii="Arial" w:hAnsi="Arial" w:cs="Arial"/>
          <w:iCs/>
        </w:rPr>
        <w:lastRenderedPageBreak/>
        <w:t>b) Se abstendrá de aceptar donaciones cuando concurra cualquiera de las circunstancias previstas en el parágrafo del artículo 2 y en el artículo 9 de la Política de Donaciones.”</w:t>
      </w:r>
    </w:p>
    <w:p w14:paraId="34BF9296" w14:textId="77777777" w:rsidR="00531697" w:rsidRDefault="00124D43">
      <w:pPr>
        <w:spacing w:line="276" w:lineRule="auto"/>
        <w:jc w:val="both"/>
      </w:pPr>
      <w:r>
        <w:rPr>
          <w:rFonts w:ascii="Arial" w:hAnsi="Arial" w:cs="Arial"/>
          <w:b/>
        </w:rPr>
        <w:t xml:space="preserve">ARTÍCULO 2º. Comunicación. </w:t>
      </w:r>
      <w:r>
        <w:rPr>
          <w:rFonts w:ascii="Arial" w:hAnsi="Arial" w:cs="Arial"/>
        </w:rPr>
        <w:t>La Secretaría General comunicará el contenido de la presente resolución a todas las dependencias del ICETEX, y en especial a la Vicepresidencia Financiera, para su conocimiento y cumplimiento.</w:t>
      </w:r>
    </w:p>
    <w:p w14:paraId="34674DB3" w14:textId="1C1472A0" w:rsidR="00531697" w:rsidRDefault="00124D43">
      <w:pPr>
        <w:spacing w:line="276" w:lineRule="auto"/>
        <w:jc w:val="both"/>
      </w:pPr>
      <w:r>
        <w:rPr>
          <w:rFonts w:ascii="Arial" w:hAnsi="Arial" w:cs="Arial"/>
          <w:b/>
        </w:rPr>
        <w:t xml:space="preserve">ARTÍCULO 3º. Vigencia y derogatorias. </w:t>
      </w:r>
      <w:r>
        <w:rPr>
          <w:rFonts w:ascii="Arial" w:hAnsi="Arial" w:cs="Arial"/>
        </w:rPr>
        <w:t xml:space="preserve">La presente resolución rige a partir de la fecha de su publicación en </w:t>
      </w:r>
      <w:r w:rsidR="00B974DB">
        <w:rPr>
          <w:rFonts w:ascii="Arial" w:hAnsi="Arial" w:cs="Arial"/>
        </w:rPr>
        <w:t xml:space="preserve">la página oficial del ICETEX </w:t>
      </w:r>
      <w:r>
        <w:rPr>
          <w:rFonts w:ascii="Arial" w:hAnsi="Arial" w:cs="Arial"/>
        </w:rPr>
        <w:t xml:space="preserve">y la función delegada podrá ejercerse una vez entre en vigencia el Acuerdo No. </w:t>
      </w:r>
      <w:r w:rsidRPr="00767414">
        <w:rPr>
          <w:rFonts w:ascii="Arial" w:hAnsi="Arial" w:cs="Arial"/>
          <w:highlight w:val="yellow"/>
        </w:rPr>
        <w:t>[___]</w:t>
      </w:r>
      <w:r>
        <w:rPr>
          <w:rFonts w:ascii="Arial" w:hAnsi="Arial" w:cs="Arial"/>
        </w:rPr>
        <w:t xml:space="preserve"> del 26 de octubre de 2026 de la Junta Directiva. Adiciona el artículo 3 de la Resolución 0290 del 06 de junio de 2025, modificada por la Resolución 0531 del 29 de julio de 2026, y deroga las disposiciones que le sean contrarias. Las demás disposiciones de las Resoluciones 0290 de 2025 y 0531 de 2026 continúan vigentes.</w:t>
      </w:r>
    </w:p>
    <w:p w14:paraId="14056FFF" w14:textId="77777777" w:rsidR="00F9616B" w:rsidRDefault="00FF721C">
      <w:pPr>
        <w:keepNext/>
        <w:spacing w:line="276" w:lineRule="auto"/>
        <w:jc w:val="both"/>
      </w:pPr>
      <w:r>
        <w:rPr>
          <w:rFonts w:ascii="Arial" w:hAnsi="Arial" w:cs="Arial"/>
        </w:rPr>
        <w:t>Publíquese, comuníquese y cúmplase.</w:t>
      </w:r>
    </w:p>
    <w:p w14:paraId="2FA642A9" w14:textId="3A7C0DD2" w:rsidR="00F9616B" w:rsidRDefault="00FF721C">
      <w:pPr>
        <w:keepNext/>
        <w:spacing w:line="276" w:lineRule="auto"/>
        <w:jc w:val="both"/>
      </w:pPr>
      <w:r>
        <w:rPr>
          <w:rFonts w:ascii="Arial" w:hAnsi="Arial" w:cs="Arial"/>
        </w:rPr>
        <w:t xml:space="preserve">Expedida en Bogotá D.C., a los </w:t>
      </w:r>
      <w:r w:rsidRPr="00767414">
        <w:rPr>
          <w:rFonts w:ascii="Arial" w:hAnsi="Arial" w:cs="Arial"/>
          <w:highlight w:val="yellow"/>
        </w:rPr>
        <w:t>[___]</w:t>
      </w:r>
      <w:r>
        <w:rPr>
          <w:rFonts w:ascii="Arial" w:hAnsi="Arial" w:cs="Arial"/>
        </w:rPr>
        <w:t xml:space="preserve"> días del mes de octubre de 2026.</w:t>
      </w:r>
    </w:p>
    <w:p w14:paraId="54B680D6" w14:textId="77777777" w:rsidR="00F1515D" w:rsidRPr="006F63A6" w:rsidRDefault="00F1515D" w:rsidP="00F1515D">
      <w:pPr>
        <w:ind w:left="4536" w:hanging="4536"/>
        <w:jc w:val="both"/>
        <w:rPr>
          <w:rFonts w:ascii="Arial" w:hAnsi="Arial" w:cs="Arial"/>
          <w:i/>
          <w:lang w:val="es-ES"/>
        </w:rPr>
      </w:pPr>
    </w:p>
    <w:p w14:paraId="70D2E723" w14:textId="49D64627" w:rsidR="00952A2B" w:rsidRDefault="00952A2B">
      <w:pPr>
        <w:spacing w:after="0" w:line="276" w:lineRule="auto"/>
        <w:jc w:val="center"/>
        <w:rPr>
          <w:rFonts w:ascii="Arial" w:hAnsi="Arial" w:cs="Arial"/>
          <w:b/>
          <w:bCs/>
        </w:rPr>
      </w:pPr>
      <w:r w:rsidRPr="00952A2B">
        <w:rPr>
          <w:rFonts w:ascii="Arial" w:hAnsi="Arial" w:cs="Arial"/>
          <w:b/>
          <w:bCs/>
        </w:rPr>
        <w:t>RICHARD ALEXANDER CAICEDO RICO</w:t>
      </w:r>
    </w:p>
    <w:p w14:paraId="04768D8E" w14:textId="118D3264" w:rsidR="00F9616B" w:rsidRDefault="00FF721C">
      <w:pPr>
        <w:spacing w:after="0" w:line="276" w:lineRule="auto"/>
        <w:jc w:val="center"/>
      </w:pPr>
      <w:r>
        <w:rPr>
          <w:rFonts w:ascii="Arial" w:hAnsi="Arial" w:cs="Arial"/>
          <w:b/>
          <w:bCs/>
        </w:rPr>
        <w:t>Presidente</w:t>
      </w:r>
    </w:p>
    <w:p w14:paraId="38CF1F75" w14:textId="77777777" w:rsidR="00F1515D" w:rsidRDefault="00F1515D" w:rsidP="00F1515D">
      <w:pPr>
        <w:pStyle w:val="Textoindependiente"/>
        <w:spacing w:after="0"/>
        <w:rPr>
          <w:rFonts w:ascii="Arial" w:hAnsi="Arial" w:cs="Arial"/>
          <w:bCs/>
          <w:i/>
          <w:iCs/>
        </w:rPr>
      </w:pPr>
    </w:p>
    <w:p w14:paraId="7CF6A1F8" w14:textId="77777777" w:rsidR="00F1515D" w:rsidRDefault="00F1515D" w:rsidP="00F1515D">
      <w:pPr>
        <w:pStyle w:val="Textoindependiente"/>
        <w:spacing w:after="0"/>
        <w:rPr>
          <w:rFonts w:ascii="Arial" w:hAnsi="Arial" w:cs="Arial"/>
          <w:bCs/>
          <w:i/>
          <w:iCs/>
        </w:rPr>
      </w:pPr>
    </w:p>
    <w:p w14:paraId="5321442C" w14:textId="77777777" w:rsidR="00F9616B" w:rsidRDefault="00FF721C">
      <w:pPr>
        <w:spacing w:after="0" w:line="240" w:lineRule="auto"/>
      </w:pPr>
      <w:r>
        <w:rPr>
          <w:rFonts w:ascii="Arial" w:hAnsi="Arial" w:cs="Arial"/>
          <w:sz w:val="14"/>
          <w:szCs w:val="14"/>
        </w:rPr>
        <w:t>Proyectó: Diana Carolina Beltrán Herrera – Abogada contratista – Oficina Asesora Jurídica</w:t>
      </w:r>
    </w:p>
    <w:p w14:paraId="3E411FAE" w14:textId="77777777" w:rsidR="00F9616B" w:rsidRDefault="00FF721C">
      <w:pPr>
        <w:spacing w:after="0" w:line="240" w:lineRule="auto"/>
      </w:pPr>
      <w:r>
        <w:rPr>
          <w:rFonts w:ascii="Arial" w:hAnsi="Arial" w:cs="Arial"/>
          <w:sz w:val="14"/>
          <w:szCs w:val="14"/>
        </w:rPr>
        <w:t>Revisó: [Nombre] – [Cargo] – [Dependencia]</w:t>
      </w:r>
    </w:p>
    <w:p w14:paraId="63692BED" w14:textId="77777777" w:rsidR="00F9616B" w:rsidRDefault="00FF721C">
      <w:pPr>
        <w:spacing w:after="0" w:line="240" w:lineRule="auto"/>
      </w:pPr>
      <w:r>
        <w:rPr>
          <w:rFonts w:ascii="Arial" w:hAnsi="Arial" w:cs="Arial"/>
          <w:sz w:val="14"/>
          <w:szCs w:val="14"/>
        </w:rPr>
        <w:t>Aprobó: [Nombre] – [Cargo] – [Dependencia]</w:t>
      </w:r>
    </w:p>
    <w:p w14:paraId="3D3841D4" w14:textId="77777777" w:rsidR="00F1515D" w:rsidRDefault="00F1515D" w:rsidP="00F1515D">
      <w:pPr>
        <w:tabs>
          <w:tab w:val="left" w:pos="1245"/>
        </w:tabs>
      </w:pPr>
    </w:p>
    <w:p w14:paraId="206D2ECB" w14:textId="408670B2" w:rsidR="00F1515D" w:rsidRPr="00F1515D" w:rsidRDefault="004C4541" w:rsidP="00F1515D">
      <w:pPr>
        <w:shd w:val="clear" w:color="auto" w:fill="FFFFFF" w:themeFill="background1"/>
        <w:spacing w:after="0" w:line="360" w:lineRule="auto"/>
      </w:pPr>
      <w:r>
        <w:tab/>
      </w:r>
    </w:p>
    <w:p w14:paraId="74E4438F" w14:textId="0882A3A7" w:rsidR="00F1515D" w:rsidRPr="00DB1889" w:rsidRDefault="00F1515D" w:rsidP="00F1515D">
      <w:pPr>
        <w:shd w:val="clear" w:color="auto" w:fill="FFFFFF" w:themeFill="background1"/>
        <w:spacing w:after="0" w:line="360" w:lineRule="auto"/>
        <w:ind w:left="5664" w:firstLine="708"/>
        <w:rPr>
          <w:rFonts w:ascii="Arial" w:hAnsi="Arial" w:cs="Arial"/>
          <w:b/>
          <w:bCs/>
          <w:color w:val="A6A6A6" w:themeColor="background1" w:themeShade="A6"/>
          <w:sz w:val="16"/>
          <w:szCs w:val="16"/>
          <w:lang w:val="es-ES"/>
        </w:rPr>
      </w:pPr>
      <w:r>
        <w:rPr>
          <w:rFonts w:ascii="Arial" w:hAnsi="Arial" w:cs="Arial"/>
          <w:b/>
          <w:bCs/>
          <w:color w:val="A6A6A6" w:themeColor="background1" w:themeShade="A6"/>
          <w:sz w:val="16"/>
          <w:szCs w:val="16"/>
          <w:lang w:val="es-ES"/>
        </w:rPr>
        <w:t>F416 – V6 Fecha: 26/11/2025</w:t>
      </w:r>
    </w:p>
    <w:p w14:paraId="5E5BD358" w14:textId="7400AD65" w:rsidR="004C4541" w:rsidRPr="004C4541" w:rsidRDefault="004C4541" w:rsidP="00F1515D">
      <w:pPr>
        <w:tabs>
          <w:tab w:val="left" w:pos="6600"/>
        </w:tabs>
        <w:spacing w:after="0" w:line="240" w:lineRule="auto"/>
      </w:pPr>
    </w:p>
    <w:sectPr w:rsidR="004C4541" w:rsidRPr="004C4541" w:rsidSect="00F1515D">
      <w:headerReference w:type="default" r:id="rId7"/>
      <w:footerReference w:type="default" r:id="rId8"/>
      <w:pgSz w:w="12191" w:h="18711"/>
      <w:pgMar w:top="1701" w:right="1701" w:bottom="2098" w:left="1701" w:header="51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24C36" w14:textId="77777777" w:rsidR="00632C96" w:rsidRDefault="00632C96" w:rsidP="00697F7F">
      <w:pPr>
        <w:spacing w:after="0" w:line="240" w:lineRule="auto"/>
      </w:pPr>
      <w:r>
        <w:separator/>
      </w:r>
    </w:p>
  </w:endnote>
  <w:endnote w:type="continuationSeparator" w:id="0">
    <w:p w14:paraId="36AA72E1" w14:textId="77777777" w:rsidR="00632C96" w:rsidRDefault="00632C96" w:rsidP="00697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D199C" w14:textId="30AD688F" w:rsidR="00023BBF" w:rsidRDefault="004C4541">
    <w:pPr>
      <w:pStyle w:val="Piedepgina"/>
      <w:rPr>
        <w:noProof/>
      </w:rPr>
    </w:pPr>
    <w:r>
      <w:rPr>
        <w:noProof/>
      </w:rPr>
      <w:drawing>
        <wp:anchor distT="0" distB="0" distL="114300" distR="114300" simplePos="0" relativeHeight="251663360" behindDoc="1" locked="0" layoutInCell="1" allowOverlap="1" wp14:anchorId="2D68F21B" wp14:editId="1BD2448B">
          <wp:simplePos x="0" y="0"/>
          <wp:positionH relativeFrom="margin">
            <wp:posOffset>-2047875</wp:posOffset>
          </wp:positionH>
          <wp:positionV relativeFrom="page">
            <wp:posOffset>10721340</wp:posOffset>
          </wp:positionV>
          <wp:extent cx="9668483" cy="1156335"/>
          <wp:effectExtent l="0" t="0" r="9525" b="5715"/>
          <wp:wrapNone/>
          <wp:docPr id="1251056691" name="Imagen 1"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056691" name="Imagen 1" descr="Imagen que contiene 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9668483" cy="1156335"/>
                  </a:xfrm>
                  <a:prstGeom prst="rect">
                    <a:avLst/>
                  </a:prstGeom>
                </pic:spPr>
              </pic:pic>
            </a:graphicData>
          </a:graphic>
          <wp14:sizeRelH relativeFrom="margin">
            <wp14:pctWidth>0</wp14:pctWidth>
          </wp14:sizeRelH>
          <wp14:sizeRelV relativeFrom="margin">
            <wp14:pctHeight>0</wp14:pctHeight>
          </wp14:sizeRelV>
        </wp:anchor>
      </w:drawing>
    </w:r>
  </w:p>
  <w:p w14:paraId="4B02CD1F" w14:textId="2B599CEB" w:rsidR="00697F7F" w:rsidRDefault="00697F7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3E091" w14:textId="77777777" w:rsidR="00632C96" w:rsidRDefault="00632C96" w:rsidP="00697F7F">
      <w:pPr>
        <w:spacing w:after="0" w:line="240" w:lineRule="auto"/>
      </w:pPr>
      <w:r>
        <w:separator/>
      </w:r>
    </w:p>
  </w:footnote>
  <w:footnote w:type="continuationSeparator" w:id="0">
    <w:p w14:paraId="4DD07475" w14:textId="77777777" w:rsidR="00632C96" w:rsidRDefault="00632C96" w:rsidP="00697F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209DC" w14:textId="730BE527" w:rsidR="00F1515D" w:rsidRDefault="00F1515D">
    <w:pPr>
      <w:pStyle w:val="Encabezado"/>
    </w:pPr>
    <w:r>
      <w:rPr>
        <w:noProof/>
      </w:rPr>
      <w:drawing>
        <wp:anchor distT="0" distB="0" distL="114300" distR="114300" simplePos="0" relativeHeight="251662336" behindDoc="0" locked="0" layoutInCell="1" allowOverlap="1" wp14:anchorId="7508AB46" wp14:editId="5E3F56D0">
          <wp:simplePos x="0" y="0"/>
          <wp:positionH relativeFrom="column">
            <wp:posOffset>-1339215</wp:posOffset>
          </wp:positionH>
          <wp:positionV relativeFrom="paragraph">
            <wp:posOffset>-293370</wp:posOffset>
          </wp:positionV>
          <wp:extent cx="8083550" cy="655320"/>
          <wp:effectExtent l="0" t="0" r="0" b="0"/>
          <wp:wrapNone/>
          <wp:docPr id="1715002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00240" name="Imagen 171500240"/>
                  <pic:cNvPicPr/>
                </pic:nvPicPr>
                <pic:blipFill>
                  <a:blip r:embed="rId1">
                    <a:extLst>
                      <a:ext uri="{28A0092B-C50C-407E-A947-70E740481C1C}">
                        <a14:useLocalDpi xmlns:a14="http://schemas.microsoft.com/office/drawing/2010/main" val="0"/>
                      </a:ext>
                    </a:extLst>
                  </a:blip>
                  <a:stretch>
                    <a:fillRect/>
                  </a:stretch>
                </pic:blipFill>
                <pic:spPr>
                  <a:xfrm>
                    <a:off x="0" y="0"/>
                    <a:ext cx="8083550" cy="655320"/>
                  </a:xfrm>
                  <a:prstGeom prst="rect">
                    <a:avLst/>
                  </a:prstGeom>
                </pic:spPr>
              </pic:pic>
            </a:graphicData>
          </a:graphic>
          <wp14:sizeRelH relativeFrom="page">
            <wp14:pctWidth>0</wp14:pctWidth>
          </wp14:sizeRelH>
          <wp14:sizeRelV relativeFrom="page">
            <wp14:pctHeight>0</wp14:pctHeight>
          </wp14:sizeRelV>
        </wp:anchor>
      </w:drawing>
    </w:r>
  </w:p>
  <w:p w14:paraId="201C2EE8" w14:textId="77777777" w:rsidR="00F1515D" w:rsidRDefault="00F1515D">
    <w:pPr>
      <w:pStyle w:val="Encabezado"/>
    </w:pPr>
  </w:p>
  <w:p w14:paraId="794260EE" w14:textId="77777777" w:rsidR="00F1515D" w:rsidRDefault="00F1515D" w:rsidP="00F1515D">
    <w:pPr>
      <w:pStyle w:val="Encabezado"/>
      <w:jc w:val="center"/>
      <w:rPr>
        <w:rFonts w:ascii="Arial" w:hAnsi="Arial" w:cs="Arial"/>
        <w:b/>
        <w:bCs/>
        <w:i/>
        <w:iCs/>
        <w:color w:val="FF0000"/>
      </w:rPr>
    </w:pPr>
    <w:r>
      <w:rPr>
        <w:rFonts w:ascii="Arial" w:hAnsi="Arial" w:cs="Arial"/>
        <w:b/>
        <w:bCs/>
        <w:i/>
        <w:iCs/>
      </w:rPr>
      <w:t xml:space="preserve">RESOLUCIÓN No. </w:t>
    </w:r>
  </w:p>
  <w:p w14:paraId="09FC41B4" w14:textId="00FD2D7F" w:rsidR="00697F7F" w:rsidRDefault="00F1515D" w:rsidP="00F1515D">
    <w:pPr>
      <w:pStyle w:val="Encabezado"/>
      <w:jc w:val="center"/>
    </w:pPr>
    <w:r>
      <w:t>(                                        )</w:t>
    </w:r>
  </w:p>
  <w:p w14:paraId="2662EF9F" w14:textId="4139FDB6" w:rsidR="00F1515D" w:rsidRDefault="00F1515D" w:rsidP="00F1515D">
    <w:pPr>
      <w:pStyle w:val="NormalWeb"/>
      <w:spacing w:before="0" w:beforeAutospacing="0" w:after="0" w:afterAutospacing="0"/>
      <w:jc w:val="center"/>
      <w:rPr>
        <w:rFonts w:ascii="Arial" w:hAnsi="Arial" w:cs="Arial"/>
        <w:sz w:val="22"/>
        <w:szCs w:val="22"/>
        <w:lang w:val="es-ES"/>
      </w:rPr>
    </w:pPr>
    <w:r>
      <w:rPr>
        <w:rFonts w:ascii="Arial" w:hAnsi="Arial" w:cs="Arial"/>
        <w:b/>
        <w:i/>
        <w:sz w:val="22"/>
        <w:szCs w:val="22"/>
        <w:lang w:val="es-ES"/>
      </w:rPr>
      <w:t xml:space="preserve">“Por la cual se adiciona el artículo 3 de la Resolución 0290 del 06 de junio de 2025, modificada por la Resolución 0531 del 29 de julio de 2026, para delegar en el </w:t>
    </w:r>
    <w:proofErr w:type="gramStart"/>
    <w:r>
      <w:rPr>
        <w:rFonts w:ascii="Arial" w:hAnsi="Arial" w:cs="Arial"/>
        <w:b/>
        <w:i/>
        <w:sz w:val="22"/>
        <w:szCs w:val="22"/>
        <w:lang w:val="es-ES"/>
      </w:rPr>
      <w:t>Vicepresidente</w:t>
    </w:r>
    <w:proofErr w:type="gramEnd"/>
    <w:r>
      <w:rPr>
        <w:rFonts w:ascii="Arial" w:hAnsi="Arial" w:cs="Arial"/>
        <w:b/>
        <w:i/>
        <w:sz w:val="22"/>
        <w:szCs w:val="22"/>
        <w:lang w:val="es-ES"/>
      </w:rPr>
      <w:t xml:space="preserve"> Financiero la aceptación de donaciones y la suscripción de los instrumentos que la formalizan”</w:t>
    </w:r>
  </w:p>
  <w:p w14:paraId="61FF9E26" w14:textId="77777777" w:rsidR="00F1515D" w:rsidRDefault="00F1515D" w:rsidP="00F1515D">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E219F"/>
    <w:multiLevelType w:val="hybridMultilevel"/>
    <w:tmpl w:val="948AFE20"/>
    <w:lvl w:ilvl="0" w:tplc="61F8D568">
      <w:start w:val="1"/>
      <w:numFmt w:val="decimal"/>
      <w:lvlText w:val="%1."/>
      <w:lvlJc w:val="left"/>
      <w:pPr>
        <w:ind w:left="570" w:hanging="400"/>
      </w:pPr>
      <w:rPr>
        <w:rFonts w:ascii="Arial" w:hAnsi="Arial" w:cs="Arial" w:hint="default"/>
      </w:rPr>
    </w:lvl>
    <w:lvl w:ilvl="1" w:tplc="0C0A0019" w:tentative="1">
      <w:start w:val="1"/>
      <w:numFmt w:val="lowerLetter"/>
      <w:lvlText w:val="%2."/>
      <w:lvlJc w:val="left"/>
      <w:pPr>
        <w:ind w:left="1250" w:hanging="360"/>
      </w:pPr>
    </w:lvl>
    <w:lvl w:ilvl="2" w:tplc="0C0A001B" w:tentative="1">
      <w:start w:val="1"/>
      <w:numFmt w:val="lowerRoman"/>
      <w:lvlText w:val="%3."/>
      <w:lvlJc w:val="right"/>
      <w:pPr>
        <w:ind w:left="1970" w:hanging="180"/>
      </w:pPr>
    </w:lvl>
    <w:lvl w:ilvl="3" w:tplc="0C0A000F" w:tentative="1">
      <w:start w:val="1"/>
      <w:numFmt w:val="decimal"/>
      <w:lvlText w:val="%4."/>
      <w:lvlJc w:val="left"/>
      <w:pPr>
        <w:ind w:left="2690" w:hanging="360"/>
      </w:pPr>
    </w:lvl>
    <w:lvl w:ilvl="4" w:tplc="0C0A0019" w:tentative="1">
      <w:start w:val="1"/>
      <w:numFmt w:val="lowerLetter"/>
      <w:lvlText w:val="%5."/>
      <w:lvlJc w:val="left"/>
      <w:pPr>
        <w:ind w:left="3410" w:hanging="360"/>
      </w:pPr>
    </w:lvl>
    <w:lvl w:ilvl="5" w:tplc="0C0A001B" w:tentative="1">
      <w:start w:val="1"/>
      <w:numFmt w:val="lowerRoman"/>
      <w:lvlText w:val="%6."/>
      <w:lvlJc w:val="right"/>
      <w:pPr>
        <w:ind w:left="4130" w:hanging="180"/>
      </w:pPr>
    </w:lvl>
    <w:lvl w:ilvl="6" w:tplc="0C0A000F" w:tentative="1">
      <w:start w:val="1"/>
      <w:numFmt w:val="decimal"/>
      <w:lvlText w:val="%7."/>
      <w:lvlJc w:val="left"/>
      <w:pPr>
        <w:ind w:left="4850" w:hanging="360"/>
      </w:pPr>
    </w:lvl>
    <w:lvl w:ilvl="7" w:tplc="0C0A0019" w:tentative="1">
      <w:start w:val="1"/>
      <w:numFmt w:val="lowerLetter"/>
      <w:lvlText w:val="%8."/>
      <w:lvlJc w:val="left"/>
      <w:pPr>
        <w:ind w:left="5570" w:hanging="360"/>
      </w:pPr>
    </w:lvl>
    <w:lvl w:ilvl="8" w:tplc="0C0A001B" w:tentative="1">
      <w:start w:val="1"/>
      <w:numFmt w:val="lowerRoman"/>
      <w:lvlText w:val="%9."/>
      <w:lvlJc w:val="right"/>
      <w:pPr>
        <w:ind w:left="6290" w:hanging="180"/>
      </w:pPr>
    </w:lvl>
  </w:abstractNum>
  <w:abstractNum w:abstractNumId="1" w15:restartNumberingAfterBreak="0">
    <w:nsid w:val="3B5566F4"/>
    <w:multiLevelType w:val="hybridMultilevel"/>
    <w:tmpl w:val="6F5EF50A"/>
    <w:lvl w:ilvl="0" w:tplc="A2DEBBBA">
      <w:start w:val="1"/>
      <w:numFmt w:val="decimal"/>
      <w:lvlText w:val="%1."/>
      <w:lvlJc w:val="left"/>
      <w:pPr>
        <w:ind w:left="570" w:hanging="400"/>
      </w:pPr>
      <w:rPr>
        <w:rFonts w:ascii="Arial" w:hAnsi="Arial" w:cs="Arial" w:hint="default"/>
      </w:rPr>
    </w:lvl>
    <w:lvl w:ilvl="1" w:tplc="0C0A0019" w:tentative="1">
      <w:start w:val="1"/>
      <w:numFmt w:val="lowerLetter"/>
      <w:lvlText w:val="%2."/>
      <w:lvlJc w:val="left"/>
      <w:pPr>
        <w:ind w:left="1250" w:hanging="360"/>
      </w:pPr>
    </w:lvl>
    <w:lvl w:ilvl="2" w:tplc="0C0A001B" w:tentative="1">
      <w:start w:val="1"/>
      <w:numFmt w:val="lowerRoman"/>
      <w:lvlText w:val="%3."/>
      <w:lvlJc w:val="right"/>
      <w:pPr>
        <w:ind w:left="1970" w:hanging="180"/>
      </w:pPr>
    </w:lvl>
    <w:lvl w:ilvl="3" w:tplc="0C0A000F" w:tentative="1">
      <w:start w:val="1"/>
      <w:numFmt w:val="decimal"/>
      <w:lvlText w:val="%4."/>
      <w:lvlJc w:val="left"/>
      <w:pPr>
        <w:ind w:left="2690" w:hanging="360"/>
      </w:pPr>
    </w:lvl>
    <w:lvl w:ilvl="4" w:tplc="0C0A0019" w:tentative="1">
      <w:start w:val="1"/>
      <w:numFmt w:val="lowerLetter"/>
      <w:lvlText w:val="%5."/>
      <w:lvlJc w:val="left"/>
      <w:pPr>
        <w:ind w:left="3410" w:hanging="360"/>
      </w:pPr>
    </w:lvl>
    <w:lvl w:ilvl="5" w:tplc="0C0A001B" w:tentative="1">
      <w:start w:val="1"/>
      <w:numFmt w:val="lowerRoman"/>
      <w:lvlText w:val="%6."/>
      <w:lvlJc w:val="right"/>
      <w:pPr>
        <w:ind w:left="4130" w:hanging="180"/>
      </w:pPr>
    </w:lvl>
    <w:lvl w:ilvl="6" w:tplc="0C0A000F" w:tentative="1">
      <w:start w:val="1"/>
      <w:numFmt w:val="decimal"/>
      <w:lvlText w:val="%7."/>
      <w:lvlJc w:val="left"/>
      <w:pPr>
        <w:ind w:left="4850" w:hanging="360"/>
      </w:pPr>
    </w:lvl>
    <w:lvl w:ilvl="7" w:tplc="0C0A0019" w:tentative="1">
      <w:start w:val="1"/>
      <w:numFmt w:val="lowerLetter"/>
      <w:lvlText w:val="%8."/>
      <w:lvlJc w:val="left"/>
      <w:pPr>
        <w:ind w:left="5570" w:hanging="360"/>
      </w:pPr>
    </w:lvl>
    <w:lvl w:ilvl="8" w:tplc="0C0A001B" w:tentative="1">
      <w:start w:val="1"/>
      <w:numFmt w:val="lowerRoman"/>
      <w:lvlText w:val="%9."/>
      <w:lvlJc w:val="right"/>
      <w:pPr>
        <w:ind w:left="6290" w:hanging="180"/>
      </w:pPr>
    </w:lvl>
  </w:abstractNum>
  <w:abstractNum w:abstractNumId="2" w15:restartNumberingAfterBreak="0">
    <w:nsid w:val="4DA33075"/>
    <w:multiLevelType w:val="hybridMultilevel"/>
    <w:tmpl w:val="4A00447C"/>
    <w:lvl w:ilvl="0" w:tplc="0C0A000F">
      <w:start w:val="1"/>
      <w:numFmt w:val="decimal"/>
      <w:lvlText w:val="%1."/>
      <w:lvlJc w:val="left"/>
      <w:pPr>
        <w:ind w:left="890" w:hanging="360"/>
      </w:pPr>
    </w:lvl>
    <w:lvl w:ilvl="1" w:tplc="0C0A0019" w:tentative="1">
      <w:start w:val="1"/>
      <w:numFmt w:val="lowerLetter"/>
      <w:lvlText w:val="%2."/>
      <w:lvlJc w:val="left"/>
      <w:pPr>
        <w:ind w:left="1610" w:hanging="360"/>
      </w:pPr>
    </w:lvl>
    <w:lvl w:ilvl="2" w:tplc="0C0A001B" w:tentative="1">
      <w:start w:val="1"/>
      <w:numFmt w:val="lowerRoman"/>
      <w:lvlText w:val="%3."/>
      <w:lvlJc w:val="right"/>
      <w:pPr>
        <w:ind w:left="2330" w:hanging="180"/>
      </w:pPr>
    </w:lvl>
    <w:lvl w:ilvl="3" w:tplc="0C0A000F" w:tentative="1">
      <w:start w:val="1"/>
      <w:numFmt w:val="decimal"/>
      <w:lvlText w:val="%4."/>
      <w:lvlJc w:val="left"/>
      <w:pPr>
        <w:ind w:left="3050" w:hanging="360"/>
      </w:pPr>
    </w:lvl>
    <w:lvl w:ilvl="4" w:tplc="0C0A0019" w:tentative="1">
      <w:start w:val="1"/>
      <w:numFmt w:val="lowerLetter"/>
      <w:lvlText w:val="%5."/>
      <w:lvlJc w:val="left"/>
      <w:pPr>
        <w:ind w:left="3770" w:hanging="360"/>
      </w:pPr>
    </w:lvl>
    <w:lvl w:ilvl="5" w:tplc="0C0A001B" w:tentative="1">
      <w:start w:val="1"/>
      <w:numFmt w:val="lowerRoman"/>
      <w:lvlText w:val="%6."/>
      <w:lvlJc w:val="right"/>
      <w:pPr>
        <w:ind w:left="4490" w:hanging="180"/>
      </w:pPr>
    </w:lvl>
    <w:lvl w:ilvl="6" w:tplc="0C0A000F" w:tentative="1">
      <w:start w:val="1"/>
      <w:numFmt w:val="decimal"/>
      <w:lvlText w:val="%7."/>
      <w:lvlJc w:val="left"/>
      <w:pPr>
        <w:ind w:left="5210" w:hanging="360"/>
      </w:pPr>
    </w:lvl>
    <w:lvl w:ilvl="7" w:tplc="0C0A0019" w:tentative="1">
      <w:start w:val="1"/>
      <w:numFmt w:val="lowerLetter"/>
      <w:lvlText w:val="%8."/>
      <w:lvlJc w:val="left"/>
      <w:pPr>
        <w:ind w:left="5930" w:hanging="360"/>
      </w:pPr>
    </w:lvl>
    <w:lvl w:ilvl="8" w:tplc="0C0A001B" w:tentative="1">
      <w:start w:val="1"/>
      <w:numFmt w:val="lowerRoman"/>
      <w:lvlText w:val="%9."/>
      <w:lvlJc w:val="right"/>
      <w:pPr>
        <w:ind w:left="6650" w:hanging="180"/>
      </w:pPr>
    </w:lvl>
  </w:abstractNum>
  <w:abstractNum w:abstractNumId="3" w15:restartNumberingAfterBreak="0">
    <w:nsid w:val="573F5A61"/>
    <w:multiLevelType w:val="hybridMultilevel"/>
    <w:tmpl w:val="F7028EDA"/>
    <w:lvl w:ilvl="0" w:tplc="61F8D568">
      <w:start w:val="1"/>
      <w:numFmt w:val="decimal"/>
      <w:lvlText w:val="%1."/>
      <w:lvlJc w:val="left"/>
      <w:pPr>
        <w:ind w:left="740" w:hanging="400"/>
      </w:pPr>
      <w:rPr>
        <w:rFonts w:hint="default"/>
      </w:rPr>
    </w:lvl>
    <w:lvl w:ilvl="1" w:tplc="0C0A0019" w:tentative="1">
      <w:start w:val="1"/>
      <w:numFmt w:val="lowerLetter"/>
      <w:lvlText w:val="%2."/>
      <w:lvlJc w:val="left"/>
      <w:pPr>
        <w:ind w:left="1610" w:hanging="360"/>
      </w:pPr>
    </w:lvl>
    <w:lvl w:ilvl="2" w:tplc="0C0A001B" w:tentative="1">
      <w:start w:val="1"/>
      <w:numFmt w:val="lowerRoman"/>
      <w:lvlText w:val="%3."/>
      <w:lvlJc w:val="right"/>
      <w:pPr>
        <w:ind w:left="2330" w:hanging="180"/>
      </w:pPr>
    </w:lvl>
    <w:lvl w:ilvl="3" w:tplc="0C0A000F" w:tentative="1">
      <w:start w:val="1"/>
      <w:numFmt w:val="decimal"/>
      <w:lvlText w:val="%4."/>
      <w:lvlJc w:val="left"/>
      <w:pPr>
        <w:ind w:left="3050" w:hanging="360"/>
      </w:pPr>
    </w:lvl>
    <w:lvl w:ilvl="4" w:tplc="0C0A0019" w:tentative="1">
      <w:start w:val="1"/>
      <w:numFmt w:val="lowerLetter"/>
      <w:lvlText w:val="%5."/>
      <w:lvlJc w:val="left"/>
      <w:pPr>
        <w:ind w:left="3770" w:hanging="360"/>
      </w:pPr>
    </w:lvl>
    <w:lvl w:ilvl="5" w:tplc="0C0A001B" w:tentative="1">
      <w:start w:val="1"/>
      <w:numFmt w:val="lowerRoman"/>
      <w:lvlText w:val="%6."/>
      <w:lvlJc w:val="right"/>
      <w:pPr>
        <w:ind w:left="4490" w:hanging="180"/>
      </w:pPr>
    </w:lvl>
    <w:lvl w:ilvl="6" w:tplc="0C0A000F" w:tentative="1">
      <w:start w:val="1"/>
      <w:numFmt w:val="decimal"/>
      <w:lvlText w:val="%7."/>
      <w:lvlJc w:val="left"/>
      <w:pPr>
        <w:ind w:left="5210" w:hanging="360"/>
      </w:pPr>
    </w:lvl>
    <w:lvl w:ilvl="7" w:tplc="0C0A0019" w:tentative="1">
      <w:start w:val="1"/>
      <w:numFmt w:val="lowerLetter"/>
      <w:lvlText w:val="%8."/>
      <w:lvlJc w:val="left"/>
      <w:pPr>
        <w:ind w:left="5930" w:hanging="360"/>
      </w:pPr>
    </w:lvl>
    <w:lvl w:ilvl="8" w:tplc="0C0A001B" w:tentative="1">
      <w:start w:val="1"/>
      <w:numFmt w:val="lowerRoman"/>
      <w:lvlText w:val="%9."/>
      <w:lvlJc w:val="right"/>
      <w:pPr>
        <w:ind w:left="6650" w:hanging="180"/>
      </w:pPr>
    </w:lvl>
  </w:abstractNum>
  <w:num w:numId="1" w16cid:durableId="29653055">
    <w:abstractNumId w:val="2"/>
  </w:num>
  <w:num w:numId="2" w16cid:durableId="1256012671">
    <w:abstractNumId w:val="0"/>
  </w:num>
  <w:num w:numId="3" w16cid:durableId="1735737360">
    <w:abstractNumId w:val="3"/>
  </w:num>
  <w:num w:numId="4" w16cid:durableId="6401191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65D"/>
    <w:rsid w:val="00000CE5"/>
    <w:rsid w:val="00023BBF"/>
    <w:rsid w:val="00042A58"/>
    <w:rsid w:val="00124D43"/>
    <w:rsid w:val="00134B18"/>
    <w:rsid w:val="00166F1A"/>
    <w:rsid w:val="00177106"/>
    <w:rsid w:val="002C5200"/>
    <w:rsid w:val="0033117A"/>
    <w:rsid w:val="00447B0C"/>
    <w:rsid w:val="004C4541"/>
    <w:rsid w:val="004D138D"/>
    <w:rsid w:val="004F7E26"/>
    <w:rsid w:val="005236BC"/>
    <w:rsid w:val="00531697"/>
    <w:rsid w:val="00540C6D"/>
    <w:rsid w:val="00554DF9"/>
    <w:rsid w:val="00587EED"/>
    <w:rsid w:val="00591078"/>
    <w:rsid w:val="005A6F97"/>
    <w:rsid w:val="005C2C3E"/>
    <w:rsid w:val="00617BC1"/>
    <w:rsid w:val="00632C96"/>
    <w:rsid w:val="006411BB"/>
    <w:rsid w:val="0067587E"/>
    <w:rsid w:val="00697F7F"/>
    <w:rsid w:val="006B1DEC"/>
    <w:rsid w:val="006F0CD5"/>
    <w:rsid w:val="00715FE1"/>
    <w:rsid w:val="00767414"/>
    <w:rsid w:val="007E3954"/>
    <w:rsid w:val="00801F71"/>
    <w:rsid w:val="00831D26"/>
    <w:rsid w:val="00842B44"/>
    <w:rsid w:val="00873F88"/>
    <w:rsid w:val="009178F0"/>
    <w:rsid w:val="00926BC4"/>
    <w:rsid w:val="009460A4"/>
    <w:rsid w:val="00952A2B"/>
    <w:rsid w:val="00993BD3"/>
    <w:rsid w:val="009B1670"/>
    <w:rsid w:val="009D4C65"/>
    <w:rsid w:val="009D583A"/>
    <w:rsid w:val="00A05870"/>
    <w:rsid w:val="00A1295F"/>
    <w:rsid w:val="00A92AAD"/>
    <w:rsid w:val="00AA15CC"/>
    <w:rsid w:val="00B86AE6"/>
    <w:rsid w:val="00B974DB"/>
    <w:rsid w:val="00BA7C4E"/>
    <w:rsid w:val="00BE405E"/>
    <w:rsid w:val="00BE58CD"/>
    <w:rsid w:val="00BF273C"/>
    <w:rsid w:val="00C02CFB"/>
    <w:rsid w:val="00C36651"/>
    <w:rsid w:val="00C42D54"/>
    <w:rsid w:val="00CF378F"/>
    <w:rsid w:val="00D13859"/>
    <w:rsid w:val="00D765EA"/>
    <w:rsid w:val="00E02ADF"/>
    <w:rsid w:val="00EC3DBB"/>
    <w:rsid w:val="00EF365D"/>
    <w:rsid w:val="00F1515D"/>
    <w:rsid w:val="00F9616B"/>
    <w:rsid w:val="00FC27AE"/>
    <w:rsid w:val="00FF71E4"/>
    <w:rsid w:val="00FF721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44DE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F36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EF36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EF365D"/>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EF365D"/>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EF365D"/>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EF365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F365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F365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F365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F365D"/>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EF365D"/>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EF365D"/>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EF365D"/>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EF365D"/>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EF365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F365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F365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F365D"/>
    <w:rPr>
      <w:rFonts w:eastAsiaTheme="majorEastAsia" w:cstheme="majorBidi"/>
      <w:color w:val="272727" w:themeColor="text1" w:themeTint="D8"/>
    </w:rPr>
  </w:style>
  <w:style w:type="paragraph" w:styleId="Ttulo">
    <w:name w:val="Title"/>
    <w:basedOn w:val="Normal"/>
    <w:next w:val="Normal"/>
    <w:link w:val="TtuloCar"/>
    <w:uiPriority w:val="10"/>
    <w:qFormat/>
    <w:rsid w:val="00EF36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F365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F365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F365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F365D"/>
    <w:pPr>
      <w:spacing w:before="160"/>
      <w:jc w:val="center"/>
    </w:pPr>
    <w:rPr>
      <w:i/>
      <w:iCs/>
      <w:color w:val="404040" w:themeColor="text1" w:themeTint="BF"/>
    </w:rPr>
  </w:style>
  <w:style w:type="character" w:customStyle="1" w:styleId="CitaCar">
    <w:name w:val="Cita Car"/>
    <w:basedOn w:val="Fuentedeprrafopredeter"/>
    <w:link w:val="Cita"/>
    <w:uiPriority w:val="29"/>
    <w:rsid w:val="00EF365D"/>
    <w:rPr>
      <w:i/>
      <w:iCs/>
      <w:color w:val="404040" w:themeColor="text1" w:themeTint="BF"/>
    </w:rPr>
  </w:style>
  <w:style w:type="paragraph" w:styleId="Prrafodelista">
    <w:name w:val="List Paragraph"/>
    <w:basedOn w:val="Normal"/>
    <w:uiPriority w:val="34"/>
    <w:qFormat/>
    <w:rsid w:val="00EF365D"/>
    <w:pPr>
      <w:ind w:left="720"/>
      <w:contextualSpacing/>
    </w:pPr>
  </w:style>
  <w:style w:type="character" w:styleId="nfasisintenso">
    <w:name w:val="Intense Emphasis"/>
    <w:basedOn w:val="Fuentedeprrafopredeter"/>
    <w:uiPriority w:val="21"/>
    <w:qFormat/>
    <w:rsid w:val="00EF365D"/>
    <w:rPr>
      <w:i/>
      <w:iCs/>
      <w:color w:val="2F5496" w:themeColor="accent1" w:themeShade="BF"/>
    </w:rPr>
  </w:style>
  <w:style w:type="paragraph" w:styleId="Citadestacada">
    <w:name w:val="Intense Quote"/>
    <w:basedOn w:val="Normal"/>
    <w:next w:val="Normal"/>
    <w:link w:val="CitadestacadaCar"/>
    <w:uiPriority w:val="30"/>
    <w:qFormat/>
    <w:rsid w:val="00EF36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EF365D"/>
    <w:rPr>
      <w:i/>
      <w:iCs/>
      <w:color w:val="2F5496" w:themeColor="accent1" w:themeShade="BF"/>
    </w:rPr>
  </w:style>
  <w:style w:type="character" w:styleId="Referenciaintensa">
    <w:name w:val="Intense Reference"/>
    <w:basedOn w:val="Fuentedeprrafopredeter"/>
    <w:uiPriority w:val="32"/>
    <w:qFormat/>
    <w:rsid w:val="00EF365D"/>
    <w:rPr>
      <w:b/>
      <w:bCs/>
      <w:smallCaps/>
      <w:color w:val="2F5496" w:themeColor="accent1" w:themeShade="BF"/>
      <w:spacing w:val="5"/>
    </w:rPr>
  </w:style>
  <w:style w:type="paragraph" w:styleId="Encabezado">
    <w:name w:val="header"/>
    <w:aliases w:val="h,h8,h9,h10,h18,encabezado,Nivel 1,Haut de page,Encabezado Car Car Car Car Car Car,Encabezado Car Car Car Car,Encabezado 2,Encabezado Car Car,Encabezado Car Car Car Car Car,Encabezado Car Car Car"/>
    <w:basedOn w:val="Normal"/>
    <w:link w:val="EncabezadoCar"/>
    <w:unhideWhenUsed/>
    <w:rsid w:val="00697F7F"/>
    <w:pPr>
      <w:tabs>
        <w:tab w:val="center" w:pos="4419"/>
        <w:tab w:val="right" w:pos="8838"/>
      </w:tabs>
      <w:spacing w:after="0" w:line="240" w:lineRule="auto"/>
    </w:pPr>
  </w:style>
  <w:style w:type="character" w:customStyle="1" w:styleId="EncabezadoCar">
    <w:name w:val="Encabezado Car"/>
    <w:aliases w:val="h Car,h8 Car,h9 Car,h10 Car,h18 Car,encabezado Car,Nivel 1 Car,Haut de page Car,Encabezado Car Car Car Car Car Car Car,Encabezado Car Car Car Car Car1,Encabezado 2 Car,Encabezado Car Car Car1,Encabezado Car Car Car Car Car Car1"/>
    <w:basedOn w:val="Fuentedeprrafopredeter"/>
    <w:link w:val="Encabezado"/>
    <w:rsid w:val="00697F7F"/>
  </w:style>
  <w:style w:type="paragraph" w:styleId="Piedepgina">
    <w:name w:val="footer"/>
    <w:basedOn w:val="Normal"/>
    <w:link w:val="PiedepginaCar"/>
    <w:uiPriority w:val="99"/>
    <w:unhideWhenUsed/>
    <w:rsid w:val="00697F7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97F7F"/>
  </w:style>
  <w:style w:type="paragraph" w:styleId="Sangradetextonormal">
    <w:name w:val="Body Text Indent"/>
    <w:basedOn w:val="Normal"/>
    <w:link w:val="SangradetextonormalCar"/>
    <w:uiPriority w:val="99"/>
    <w:semiHidden/>
    <w:unhideWhenUsed/>
    <w:rsid w:val="00F1515D"/>
    <w:pPr>
      <w:spacing w:line="254" w:lineRule="auto"/>
      <w:ind w:left="1800" w:hanging="1800"/>
      <w:jc w:val="both"/>
    </w:pPr>
    <w:rPr>
      <w:rFonts w:ascii="Arial" w:eastAsia="MS Mincho" w:hAnsi="Arial" w:cs="Times New Roman"/>
      <w:b/>
      <w:kern w:val="0"/>
      <w14:ligatures w14:val="none"/>
    </w:rPr>
  </w:style>
  <w:style w:type="character" w:customStyle="1" w:styleId="SangradetextonormalCar">
    <w:name w:val="Sangría de texto normal Car"/>
    <w:basedOn w:val="Fuentedeprrafopredeter"/>
    <w:link w:val="Sangradetextonormal"/>
    <w:uiPriority w:val="99"/>
    <w:semiHidden/>
    <w:rsid w:val="00F1515D"/>
    <w:rPr>
      <w:rFonts w:ascii="Arial" w:eastAsia="MS Mincho" w:hAnsi="Arial" w:cs="Times New Roman"/>
      <w:b/>
      <w:kern w:val="0"/>
      <w14:ligatures w14:val="none"/>
    </w:rPr>
  </w:style>
  <w:style w:type="paragraph" w:styleId="Textoindependiente">
    <w:name w:val="Body Text"/>
    <w:basedOn w:val="Normal"/>
    <w:link w:val="TextoindependienteCar"/>
    <w:uiPriority w:val="99"/>
    <w:semiHidden/>
    <w:unhideWhenUsed/>
    <w:rsid w:val="00F1515D"/>
    <w:pPr>
      <w:spacing w:after="120" w:line="240" w:lineRule="auto"/>
    </w:pPr>
    <w:rPr>
      <w:sz w:val="24"/>
      <w:szCs w:val="24"/>
    </w:rPr>
  </w:style>
  <w:style w:type="character" w:customStyle="1" w:styleId="TextoindependienteCar">
    <w:name w:val="Texto independiente Car"/>
    <w:basedOn w:val="Fuentedeprrafopredeter"/>
    <w:link w:val="Textoindependiente"/>
    <w:uiPriority w:val="99"/>
    <w:semiHidden/>
    <w:rsid w:val="00F1515D"/>
    <w:rPr>
      <w:sz w:val="24"/>
      <w:szCs w:val="24"/>
    </w:rPr>
  </w:style>
  <w:style w:type="paragraph" w:styleId="Textodebloque">
    <w:name w:val="Block Text"/>
    <w:basedOn w:val="Normal"/>
    <w:semiHidden/>
    <w:unhideWhenUsed/>
    <w:rsid w:val="00F1515D"/>
    <w:pPr>
      <w:spacing w:line="256" w:lineRule="auto"/>
      <w:ind w:left="4320" w:right="-118" w:hanging="4320"/>
      <w:jc w:val="both"/>
    </w:pPr>
    <w:rPr>
      <w:rFonts w:ascii="Arial" w:eastAsia="MS Mincho" w:hAnsi="Arial" w:cs="Arial"/>
      <w:b/>
      <w:bCs/>
      <w:kern w:val="0"/>
      <w:sz w:val="28"/>
      <w:szCs w:val="28"/>
      <w:lang w:val="es-ES_tradnl"/>
      <w14:ligatures w14:val="none"/>
    </w:rPr>
  </w:style>
  <w:style w:type="paragraph" w:styleId="NormalWeb">
    <w:name w:val="Normal (Web)"/>
    <w:basedOn w:val="Normal"/>
    <w:uiPriority w:val="99"/>
    <w:semiHidden/>
    <w:unhideWhenUsed/>
    <w:rsid w:val="00F1515D"/>
    <w:pPr>
      <w:spacing w:before="100" w:beforeAutospacing="1" w:after="100" w:afterAutospacing="1" w:line="240" w:lineRule="auto"/>
    </w:pPr>
    <w:rPr>
      <w:rFonts w:ascii="Times New Roman" w:eastAsiaTheme="minorEastAsia" w:hAnsi="Times New Roman" w:cs="Times New Roman"/>
      <w:kern w:val="0"/>
      <w:sz w:val="20"/>
      <w:szCs w:val="20"/>
      <w:lang w:val="es-ES_tradnl"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2227</Words>
  <Characters>12250</Characters>
  <Application>Microsoft Office Word</Application>
  <DocSecurity>0</DocSecurity>
  <Lines>102</Lines>
  <Paragraphs>28</Paragraphs>
  <ScaleCrop>false</ScaleCrop>
  <Company/>
  <LinksUpToDate>false</LinksUpToDate>
  <CharactersWithSpaces>14449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2026-10-28T00:19:00Z</dcterms:created>
  <dcterms:modified xsi:type="dcterms:W3CDTF">2026-10-28T00:19:00Z</dcterms:modified>
</cp:coreProperties>
</file>